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97" w:rsidRPr="00E61487" w:rsidRDefault="00B33297" w:rsidP="00B33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1487">
        <w:rPr>
          <w:rFonts w:ascii="Times New Roman" w:hAnsi="Times New Roman" w:cs="Times New Roman"/>
          <w:b/>
          <w:sz w:val="28"/>
          <w:szCs w:val="28"/>
          <w:lang w:val="ru-RU"/>
        </w:rPr>
        <w:t>АНАЛІЗ РЕГУЛЯТОРНОГО ВПЛИВУ</w:t>
      </w:r>
    </w:p>
    <w:p w:rsidR="00B33297" w:rsidRPr="002967CF" w:rsidRDefault="00B33297" w:rsidP="0029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b/>
          <w:sz w:val="28"/>
          <w:szCs w:val="28"/>
          <w:lang w:val="ru-RU"/>
        </w:rPr>
        <w:t>проєкту</w:t>
      </w:r>
      <w:r w:rsidRPr="00E61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33297">
        <w:rPr>
          <w:rFonts w:ascii="Times New Roman" w:hAnsi="Times New Roman" w:cs="Times New Roman"/>
          <w:b/>
          <w:sz w:val="28"/>
          <w:szCs w:val="28"/>
          <w:lang w:val="ru-RU"/>
        </w:rPr>
        <w:t>рішення</w:t>
      </w:r>
      <w:r w:rsidRPr="00E61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967CF">
        <w:rPr>
          <w:rFonts w:ascii="Times New Roman" w:hAnsi="Times New Roman" w:cs="Times New Roman"/>
          <w:b/>
          <w:sz w:val="28"/>
          <w:szCs w:val="28"/>
          <w:lang w:val="ru-RU"/>
        </w:rPr>
        <w:t>Закарпатської обласної</w:t>
      </w:r>
      <w:r w:rsidRPr="00E61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33297"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r w:rsidRPr="00E614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2967CF" w:rsidRPr="002967CF">
        <w:rPr>
          <w:rFonts w:ascii="Times New Roman" w:hAnsi="Times New Roman" w:cs="Times New Roman"/>
          <w:b/>
          <w:sz w:val="28"/>
          <w:szCs w:val="28"/>
          <w:lang w:val="ru-RU"/>
        </w:rPr>
        <w:t>Про затвердження Примірного договору про порядок участі орендаря (суборендаря) у компенсації (відшкодуванні) витрат на оплату комунальних послуг і утримання комунального майна області (майна спільної власності територіальних громад сіл, селищ, міст області)»</w:t>
      </w:r>
    </w:p>
    <w:p w:rsidR="00B33297" w:rsidRDefault="00B33297" w:rsidP="00B3329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297" w:rsidRPr="00B33297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Відповідно до статті 8 Закону України «Про засади державної регуляторної політики у сфері господарської діяльності». </w:t>
      </w:r>
    </w:p>
    <w:p w:rsidR="00B33297" w:rsidRPr="00B33297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Назва регуляторного акту: Проєкт рішення </w:t>
      </w:r>
      <w:r w:rsidRPr="002967C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967CF" w:rsidRPr="002967CF">
        <w:rPr>
          <w:rFonts w:ascii="Times New Roman" w:hAnsi="Times New Roman" w:cs="Times New Roman"/>
          <w:sz w:val="28"/>
          <w:szCs w:val="28"/>
          <w:lang w:val="ru-RU"/>
        </w:rPr>
        <w:t>Про затвердження Примірного договору про порядок участі орендаря (суборендаря) у компенсації (відшкодуванні) витрат на оплату комунальних послуг і утримання комунального майна області (майна спільної власності територіальних громад сіл, селищ, міст області)</w:t>
      </w:r>
      <w:r w:rsidRPr="002967C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33297" w:rsidRPr="00B33297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>Регуляторний орган: Закарпатська обласна рада.</w:t>
      </w:r>
    </w:p>
    <w:p w:rsidR="00D017C1" w:rsidRPr="00B33297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>Розробник документа: Комунальна установа «Управління спільною власністю територіальних громад» Закарпатської обласної ради.</w:t>
      </w:r>
    </w:p>
    <w:p w:rsidR="00B33297" w:rsidRDefault="00B33297" w:rsidP="00B33297">
      <w:pPr>
        <w:widowControl w:val="0"/>
        <w:tabs>
          <w:tab w:val="left" w:pos="4111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33297" w:rsidRDefault="00B33297" w:rsidP="00B33297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33297">
        <w:rPr>
          <w:rFonts w:ascii="Times New Roman" w:hAnsi="Times New Roman" w:cs="Times New Roman"/>
          <w:b/>
          <w:sz w:val="28"/>
          <w:szCs w:val="28"/>
          <w:lang w:val="ru-RU"/>
        </w:rPr>
        <w:t>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3297">
        <w:rPr>
          <w:rFonts w:ascii="Times New Roman" w:hAnsi="Times New Roman" w:cs="Times New Roman"/>
          <w:b/>
          <w:sz w:val="28"/>
          <w:szCs w:val="28"/>
          <w:lang w:val="ru-RU"/>
        </w:rPr>
        <w:t>Визначення проблеми</w:t>
      </w:r>
    </w:p>
    <w:p w:rsidR="00A564E4" w:rsidRPr="00B33297" w:rsidRDefault="00A564E4" w:rsidP="00B33297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64E4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Верховною Радою України прийнято Закон України від 03 жовтня 2019 року № 157-ІХ «Про оренду державного та комунального майна України», статтею 16 якого, зокрема, визначено, що договір оренди майна </w:t>
      </w:r>
      <w:r w:rsidR="00A564E4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 власності формується на підставі примірного договору оренди, що затверджується</w:t>
      </w:r>
      <w:r w:rsidR="00A564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4E4" w:rsidRPr="00A564E4">
        <w:rPr>
          <w:rFonts w:ascii="Times New Roman" w:hAnsi="Times New Roman" w:cs="Times New Roman"/>
          <w:sz w:val="28"/>
          <w:szCs w:val="28"/>
          <w:lang w:val="ru-RU"/>
        </w:rPr>
        <w:t>представницькими органами місцевого самоврядування</w:t>
      </w: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967CF" w:rsidRDefault="002967CF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7CF">
        <w:rPr>
          <w:rFonts w:ascii="Times New Roman" w:hAnsi="Times New Roman" w:cs="Times New Roman"/>
          <w:sz w:val="28"/>
          <w:szCs w:val="28"/>
          <w:lang w:val="ru-RU"/>
        </w:rPr>
        <w:t>Особливості визначення умов передачі майна в оренду встановлюються, зокрема, представницькими органами місцевого самоврядування щодо комунального майна.</w:t>
      </w:r>
    </w:p>
    <w:p w:rsidR="002967CF" w:rsidRPr="002967CF" w:rsidRDefault="00F51514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Примірним договором </w:t>
      </w:r>
      <w:r w:rsidR="002967CF" w:rsidRPr="00B33297">
        <w:rPr>
          <w:rFonts w:ascii="Times New Roman" w:hAnsi="Times New Roman" w:cs="Times New Roman"/>
          <w:sz w:val="28"/>
          <w:szCs w:val="28"/>
          <w:lang w:val="ru-RU"/>
        </w:rPr>
        <w:t>оренди комунального майна області (майна спільної власності територіальних громад сіл, селищ, міст області)</w:t>
      </w:r>
      <w:r>
        <w:rPr>
          <w:rFonts w:ascii="Times New Roman" w:hAnsi="Times New Roman" w:cs="Times New Roman"/>
          <w:sz w:val="28"/>
          <w:szCs w:val="28"/>
          <w:lang w:val="uk-UA"/>
        </w:rPr>
        <w:t>, поданого на затвердження разом з відповідним проєктом рішення Закарпатській обласній раді,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обов</w:t>
      </w:r>
      <w:r w:rsidRPr="00F5151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язків Орендаря віднесено, крім іншого, п</w:t>
      </w:r>
      <w:r w:rsidRPr="00F51514">
        <w:rPr>
          <w:rFonts w:ascii="Times New Roman" w:hAnsi="Times New Roman" w:cs="Times New Roman"/>
          <w:sz w:val="28"/>
          <w:szCs w:val="28"/>
          <w:lang w:val="ru-RU"/>
        </w:rPr>
        <w:t>ротягом 1 (одного) місяця після укладення договору оренди укласти з Балансоутримувачем Об’єкта оренди договір про порядок участі орендаря (суборендаря) у компенсації (відшкодуванні) витрат на оплату комунальних послуг і утримання комунального майна області (майна спільної власності територіальних громад сіл, селищ, міст області).</w:t>
      </w:r>
    </w:p>
    <w:p w:rsidR="00A564E4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З огляду на зазначене, постала потреба в розробленні відповідного нормативного акта. </w:t>
      </w:r>
    </w:p>
    <w:p w:rsidR="00F51514" w:rsidRDefault="00A564E4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64E4">
        <w:rPr>
          <w:rFonts w:ascii="Times New Roman" w:hAnsi="Times New Roman" w:cs="Times New Roman"/>
          <w:sz w:val="28"/>
          <w:szCs w:val="28"/>
          <w:lang w:val="ru-RU"/>
        </w:rPr>
        <w:t xml:space="preserve">Необхідність прийняття нового регуляторного акта пов’язана з тим, щоб врегулювати організаційні відносини, пов’язані з </w:t>
      </w:r>
      <w:r w:rsidR="00F51514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r w:rsidRPr="00A564E4">
        <w:rPr>
          <w:rFonts w:ascii="Times New Roman" w:hAnsi="Times New Roman" w:cs="Times New Roman"/>
          <w:sz w:val="28"/>
          <w:szCs w:val="28"/>
          <w:lang w:val="ru-RU"/>
        </w:rPr>
        <w:t xml:space="preserve"> майна, що перебуває в комунальній власності та май</w:t>
      </w:r>
      <w:r w:rsidR="00F51514">
        <w:rPr>
          <w:rFonts w:ascii="Times New Roman" w:hAnsi="Times New Roman" w:cs="Times New Roman"/>
          <w:sz w:val="28"/>
          <w:szCs w:val="28"/>
          <w:lang w:val="ru-RU"/>
        </w:rPr>
        <w:t xml:space="preserve">нові відносини між </w:t>
      </w:r>
      <w:r w:rsidR="00F51514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балансоутримувачами</w:t>
      </w:r>
      <w:r w:rsidRPr="00A564E4">
        <w:rPr>
          <w:rFonts w:ascii="Times New Roman" w:hAnsi="Times New Roman" w:cs="Times New Roman"/>
          <w:sz w:val="28"/>
          <w:szCs w:val="28"/>
          <w:lang w:val="ru-RU"/>
        </w:rPr>
        <w:t xml:space="preserve"> та орендарями. </w:t>
      </w:r>
    </w:p>
    <w:p w:rsidR="006C5DAF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Наразі кількість чинних договорів </w:t>
      </w:r>
      <w:r w:rsidR="009537C2">
        <w:rPr>
          <w:rFonts w:ascii="Times New Roman" w:hAnsi="Times New Roman" w:cs="Times New Roman"/>
          <w:sz w:val="28"/>
          <w:szCs w:val="28"/>
          <w:lang w:val="ru-RU"/>
        </w:rPr>
        <w:t xml:space="preserve">про відшкодування витрат </w:t>
      </w:r>
      <w:r w:rsidR="009537C2" w:rsidRPr="009537C2">
        <w:rPr>
          <w:rFonts w:ascii="Times New Roman" w:hAnsi="Times New Roman" w:cs="Times New Roman"/>
          <w:sz w:val="28"/>
          <w:szCs w:val="28"/>
          <w:lang w:val="ru-RU"/>
        </w:rPr>
        <w:t>на утримання нерухомого майна і прибудинкової території</w:t>
      </w:r>
      <w:r w:rsidR="009537C2">
        <w:rPr>
          <w:rFonts w:ascii="Times New Roman" w:hAnsi="Times New Roman" w:cs="Times New Roman"/>
          <w:sz w:val="28"/>
          <w:szCs w:val="28"/>
          <w:lang w:val="ru-RU"/>
        </w:rPr>
        <w:t>, укладених УСВ ЗОР,</w:t>
      </w: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</w:t>
      </w:r>
      <w:r w:rsidR="009537C2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 (за даними на </w:t>
      </w:r>
      <w:r w:rsidR="006C5DAF">
        <w:rPr>
          <w:rFonts w:ascii="Times New Roman" w:hAnsi="Times New Roman" w:cs="Times New Roman"/>
          <w:sz w:val="28"/>
          <w:szCs w:val="28"/>
          <w:lang w:val="ru-RU"/>
        </w:rPr>
        <w:t>початок липня 2020</w:t>
      </w: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 року). Як сторона договірних орендних відносин</w:t>
      </w:r>
      <w:r w:rsidR="000E6DE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1514">
        <w:rPr>
          <w:rFonts w:ascii="Times New Roman" w:hAnsi="Times New Roman" w:cs="Times New Roman"/>
          <w:sz w:val="28"/>
          <w:szCs w:val="28"/>
          <w:lang w:val="ru-RU"/>
        </w:rPr>
        <w:t>балансоутримувач</w:t>
      </w: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 має забезпечити ефективне використання належного </w:t>
      </w:r>
      <w:r w:rsidR="00F51514">
        <w:rPr>
          <w:rFonts w:ascii="Times New Roman" w:hAnsi="Times New Roman" w:cs="Times New Roman"/>
          <w:sz w:val="28"/>
          <w:szCs w:val="28"/>
          <w:lang w:val="ru-RU"/>
        </w:rPr>
        <w:t>йому</w:t>
      </w: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 майна, його схоронність та прибутковість</w:t>
      </w:r>
      <w:r w:rsidR="00F515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1514" w:rsidRPr="00F51514">
        <w:rPr>
          <w:rFonts w:ascii="Times New Roman" w:hAnsi="Times New Roman" w:cs="Times New Roman"/>
          <w:sz w:val="28"/>
          <w:szCs w:val="28"/>
          <w:lang w:val="ru-RU"/>
        </w:rPr>
        <w:t xml:space="preserve">виконання комплексу послуг, пов’язаних з обслуговуванням, утриманням </w:t>
      </w:r>
      <w:r w:rsidR="00F51514">
        <w:rPr>
          <w:rFonts w:ascii="Times New Roman" w:hAnsi="Times New Roman" w:cs="Times New Roman"/>
          <w:sz w:val="28"/>
          <w:szCs w:val="28"/>
          <w:lang w:val="ru-RU"/>
        </w:rPr>
        <w:t>відповідної б</w:t>
      </w:r>
      <w:r w:rsidR="00F51514" w:rsidRPr="00F51514">
        <w:rPr>
          <w:rFonts w:ascii="Times New Roman" w:hAnsi="Times New Roman" w:cs="Times New Roman"/>
          <w:sz w:val="28"/>
          <w:szCs w:val="28"/>
          <w:lang w:val="ru-RU"/>
        </w:rPr>
        <w:t>удівлі та прибудинкової території, створення необхідних умов для здійс</w:t>
      </w:r>
      <w:r w:rsidR="00F51514">
        <w:rPr>
          <w:rFonts w:ascii="Times New Roman" w:hAnsi="Times New Roman" w:cs="Times New Roman"/>
          <w:sz w:val="28"/>
          <w:szCs w:val="28"/>
          <w:lang w:val="ru-RU"/>
        </w:rPr>
        <w:t>нення господарської діяльності о</w:t>
      </w:r>
      <w:r w:rsidR="00F51514" w:rsidRPr="00F51514">
        <w:rPr>
          <w:rFonts w:ascii="Times New Roman" w:hAnsi="Times New Roman" w:cs="Times New Roman"/>
          <w:sz w:val="28"/>
          <w:szCs w:val="28"/>
          <w:lang w:val="ru-RU"/>
        </w:rPr>
        <w:t>рендаря</w:t>
      </w:r>
      <w:r w:rsidR="00F51514">
        <w:rPr>
          <w:rFonts w:ascii="Times New Roman" w:hAnsi="Times New Roman" w:cs="Times New Roman"/>
          <w:sz w:val="28"/>
          <w:szCs w:val="28"/>
          <w:lang w:val="ru-RU"/>
        </w:rPr>
        <w:t>, забезпечення комунальними послугами</w:t>
      </w: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C5DAF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Надходження від плати за оренду </w:t>
      </w:r>
      <w:r w:rsidR="006C5DAF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 майна зараховуються до доходів </w:t>
      </w:r>
      <w:r w:rsidR="006C5DAF">
        <w:rPr>
          <w:rFonts w:ascii="Times New Roman" w:hAnsi="Times New Roman" w:cs="Times New Roman"/>
          <w:sz w:val="28"/>
          <w:szCs w:val="28"/>
          <w:lang w:val="ru-RU"/>
        </w:rPr>
        <w:t>обласного</w:t>
      </w: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 бюджету, які є джерелом виконання соціальних програм та забезпечення важливих соціальних гар</w:t>
      </w:r>
      <w:r w:rsidR="006C5DAF">
        <w:rPr>
          <w:rFonts w:ascii="Times New Roman" w:hAnsi="Times New Roman" w:cs="Times New Roman"/>
          <w:sz w:val="28"/>
          <w:szCs w:val="28"/>
          <w:lang w:val="ru-RU"/>
        </w:rPr>
        <w:t>антій для населення.</w:t>
      </w:r>
    </w:p>
    <w:p w:rsidR="000E6DEF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Потрібно зазначити, що розроблення нового нормативного акта зумовлено не тільки вимогами Закону України від 03 жовтня 2019 року № 157-ІХ «Про оренду державного та комунального майна». </w:t>
      </w:r>
    </w:p>
    <w:p w:rsidR="000E6DEF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Проєктом акта передбачено вирішення низки проблемних питань, таких як: </w:t>
      </w:r>
    </w:p>
    <w:p w:rsidR="000E6DEF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- необхідність врахувати нові підходи щодо </w:t>
      </w:r>
      <w:r w:rsidR="00F51514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та комунального майна; </w:t>
      </w:r>
    </w:p>
    <w:p w:rsidR="000E6DEF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- необхідність визначення прав та обов’язків сторін орендних відносин за договором; </w:t>
      </w:r>
    </w:p>
    <w:p w:rsidR="000E6DEF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- забезпечення схоронності </w:t>
      </w:r>
      <w:r w:rsidR="000E6DEF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r w:rsidRPr="00B33297">
        <w:rPr>
          <w:rFonts w:ascii="Times New Roman" w:hAnsi="Times New Roman" w:cs="Times New Roman"/>
          <w:sz w:val="28"/>
          <w:szCs w:val="28"/>
          <w:lang w:val="ru-RU"/>
        </w:rPr>
        <w:t xml:space="preserve"> майна; </w:t>
      </w:r>
    </w:p>
    <w:p w:rsidR="00B33297" w:rsidRDefault="00B33297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3297">
        <w:rPr>
          <w:rFonts w:ascii="Times New Roman" w:hAnsi="Times New Roman" w:cs="Times New Roman"/>
          <w:sz w:val="28"/>
          <w:szCs w:val="28"/>
          <w:lang w:val="ru-RU"/>
        </w:rPr>
        <w:t>- ств</w:t>
      </w:r>
      <w:r w:rsidR="000E6DEF">
        <w:rPr>
          <w:rFonts w:ascii="Times New Roman" w:hAnsi="Times New Roman" w:cs="Times New Roman"/>
          <w:sz w:val="28"/>
          <w:szCs w:val="28"/>
          <w:lang w:val="ru-RU"/>
        </w:rPr>
        <w:t xml:space="preserve">орення універсального документа, який би регулював особливості </w:t>
      </w:r>
      <w:r w:rsidR="00F51514" w:rsidRPr="002967CF">
        <w:rPr>
          <w:rFonts w:ascii="Times New Roman" w:hAnsi="Times New Roman" w:cs="Times New Roman"/>
          <w:sz w:val="28"/>
          <w:szCs w:val="28"/>
          <w:lang w:val="ru-RU"/>
        </w:rPr>
        <w:t>участі орендаря (суборендаря) у компенсації (відшкодуванні) витрат на оплату комунальних послуг і утримання комунального майна області (майна спільної власності територіальних громад сіл, селищ, міст області)</w:t>
      </w:r>
      <w:r w:rsidR="000E6D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6DEF" w:rsidRDefault="000E6DEF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6DEF" w:rsidRDefault="000E6DEF" w:rsidP="000E6DE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6DEF">
        <w:rPr>
          <w:rFonts w:ascii="Times New Roman" w:hAnsi="Times New Roman" w:cs="Times New Roman"/>
          <w:b/>
          <w:sz w:val="28"/>
          <w:szCs w:val="28"/>
          <w:lang w:val="ru-RU"/>
        </w:rPr>
        <w:t>II. Цілі державного регулювання</w:t>
      </w:r>
    </w:p>
    <w:p w:rsidR="0037661B" w:rsidRPr="000E6DEF" w:rsidRDefault="0037661B" w:rsidP="000E6DE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61B" w:rsidRPr="0037661B" w:rsidRDefault="000E6DEF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Проє</w:t>
      </w:r>
      <w:r w:rsidRPr="000E6DEF">
        <w:rPr>
          <w:rFonts w:ascii="Times New Roman" w:hAnsi="Times New Roman" w:cs="Times New Roman"/>
          <w:sz w:val="28"/>
          <w:szCs w:val="28"/>
          <w:lang w:val="ru-RU"/>
        </w:rPr>
        <w:t xml:space="preserve">кт </w:t>
      </w:r>
      <w:r w:rsidR="00F51514" w:rsidRPr="002967CF">
        <w:rPr>
          <w:rFonts w:ascii="Times New Roman" w:hAnsi="Times New Roman" w:cs="Times New Roman"/>
          <w:sz w:val="28"/>
          <w:szCs w:val="28"/>
          <w:lang w:val="ru-RU"/>
        </w:rPr>
        <w:t>Примірного договору про порядок участі орендаря (суборендаря) у компенсації (відшкодуванні) витрат на оплату комунальних послуг і утримання комунального майна області (майна спільної власності територіальних громад сіл, селищ, міст області</w:t>
      </w:r>
      <w:r w:rsidR="00F5151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0E6DEF">
        <w:rPr>
          <w:rFonts w:ascii="Times New Roman" w:hAnsi="Times New Roman" w:cs="Times New Roman"/>
          <w:sz w:val="28"/>
          <w:szCs w:val="28"/>
          <w:lang w:val="ru-RU"/>
        </w:rPr>
        <w:t>розроблено з метою приведення зазначеного нормативного акту у відповідність до Закону України від 03 жовтня 2019 року № 157-ІХ «Про оренду де</w:t>
      </w:r>
      <w:r w:rsidR="0037661B">
        <w:rPr>
          <w:rFonts w:ascii="Times New Roman" w:hAnsi="Times New Roman" w:cs="Times New Roman"/>
          <w:sz w:val="28"/>
          <w:szCs w:val="28"/>
          <w:lang w:val="ru-RU"/>
        </w:rPr>
        <w:t xml:space="preserve">ржавного та комунального майна», </w:t>
      </w:r>
      <w:r w:rsidR="0037661B" w:rsidRPr="0037661B">
        <w:rPr>
          <w:rFonts w:ascii="Times New Roman" w:hAnsi="Times New Roman" w:cs="Times New Roman"/>
          <w:sz w:val="28"/>
          <w:szCs w:val="28"/>
          <w:lang w:val="ru-RU"/>
        </w:rPr>
        <w:t xml:space="preserve">створення універсального документа, </w:t>
      </w:r>
      <w:r w:rsidR="00F51514">
        <w:rPr>
          <w:rFonts w:ascii="Times New Roman" w:hAnsi="Times New Roman" w:cs="Times New Roman"/>
          <w:sz w:val="28"/>
          <w:szCs w:val="28"/>
          <w:lang w:val="ru-RU"/>
        </w:rPr>
        <w:t xml:space="preserve">який би регулював особливості </w:t>
      </w:r>
      <w:r w:rsidR="00F51514" w:rsidRPr="002967CF">
        <w:rPr>
          <w:rFonts w:ascii="Times New Roman" w:hAnsi="Times New Roman" w:cs="Times New Roman"/>
          <w:sz w:val="28"/>
          <w:szCs w:val="28"/>
          <w:lang w:val="ru-RU"/>
        </w:rPr>
        <w:t>участі орендаря (суборендаря) у компенсації (відшкодуванні) витрат на оплату комунальних послуг і утримання комунального майна області (майна спільної власності територіальних громад сіл, селищ, міст області)</w:t>
      </w:r>
      <w:r w:rsidR="0037661B" w:rsidRPr="0037661B">
        <w:rPr>
          <w:rFonts w:ascii="Times New Roman" w:hAnsi="Times New Roman" w:cs="Times New Roman"/>
          <w:sz w:val="28"/>
          <w:szCs w:val="28"/>
          <w:lang w:val="ru-RU"/>
        </w:rPr>
        <w:t xml:space="preserve">, а також визначення єдиного підходу до вирішення проблемних питань, пов’язаних із реалізацією новацій, визначених Законом України від 03 жовтня 2019 року № 157-ІХ «Про оренду державного та комунального майна». </w:t>
      </w:r>
    </w:p>
    <w:p w:rsidR="0037661B" w:rsidRDefault="000E6DEF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DEF">
        <w:rPr>
          <w:rFonts w:ascii="Times New Roman" w:hAnsi="Times New Roman" w:cs="Times New Roman"/>
          <w:sz w:val="28"/>
          <w:szCs w:val="28"/>
          <w:lang w:val="ru-RU"/>
        </w:rPr>
        <w:t xml:space="preserve">Цілями прийняття і запровадження даного регуляторного акта є: </w:t>
      </w:r>
    </w:p>
    <w:p w:rsidR="0037661B" w:rsidRDefault="000E6DEF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DEF">
        <w:rPr>
          <w:rFonts w:ascii="Times New Roman" w:hAnsi="Times New Roman" w:cs="Times New Roman"/>
          <w:sz w:val="28"/>
          <w:szCs w:val="28"/>
          <w:lang w:val="ru-RU"/>
        </w:rPr>
        <w:t xml:space="preserve">- виконання вимог Закону України </w:t>
      </w:r>
      <w:r w:rsidR="0037661B" w:rsidRPr="000E6DEF">
        <w:rPr>
          <w:rFonts w:ascii="Times New Roman" w:hAnsi="Times New Roman" w:cs="Times New Roman"/>
          <w:sz w:val="28"/>
          <w:szCs w:val="28"/>
          <w:lang w:val="ru-RU"/>
        </w:rPr>
        <w:t xml:space="preserve">від 03 жовтня 2019 року № 157-ІХ </w:t>
      </w:r>
      <w:r w:rsidRPr="000E6DEF">
        <w:rPr>
          <w:rFonts w:ascii="Times New Roman" w:hAnsi="Times New Roman" w:cs="Times New Roman"/>
          <w:sz w:val="28"/>
          <w:szCs w:val="28"/>
          <w:lang w:val="ru-RU"/>
        </w:rPr>
        <w:t xml:space="preserve">«Про оренду державного та комунального майна»; </w:t>
      </w:r>
    </w:p>
    <w:p w:rsidR="0037661B" w:rsidRDefault="000E6DEF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DEF">
        <w:rPr>
          <w:rFonts w:ascii="Times New Roman" w:hAnsi="Times New Roman" w:cs="Times New Roman"/>
          <w:sz w:val="28"/>
          <w:szCs w:val="28"/>
          <w:lang w:val="ru-RU"/>
        </w:rPr>
        <w:t xml:space="preserve">- запровадження єдиного механізму </w:t>
      </w:r>
      <w:r w:rsidR="001D7741" w:rsidRPr="002967CF">
        <w:rPr>
          <w:rFonts w:ascii="Times New Roman" w:hAnsi="Times New Roman" w:cs="Times New Roman"/>
          <w:sz w:val="28"/>
          <w:szCs w:val="28"/>
          <w:lang w:val="ru-RU"/>
        </w:rPr>
        <w:t>компенсації (відшкодуванні) витрат на оплату комунальних послуг і утримання комунального майна області (майна спільної власності територіальних громад сіл, селищ, міст області)</w:t>
      </w:r>
      <w:r w:rsidRPr="000E6DE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7661B" w:rsidRDefault="000E6DEF" w:rsidP="001D774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DEF">
        <w:rPr>
          <w:rFonts w:ascii="Times New Roman" w:hAnsi="Times New Roman" w:cs="Times New Roman"/>
          <w:sz w:val="28"/>
          <w:szCs w:val="28"/>
          <w:lang w:val="ru-RU"/>
        </w:rPr>
        <w:t xml:space="preserve">- здійснення регулювання відносин, які виникають в процесі передачі в оренду об'єктів нерухомого майна, що належить до комунальної власності </w:t>
      </w:r>
      <w:r w:rsidR="0037661B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r w:rsidRPr="000E6DE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7661B" w:rsidRDefault="000E6DEF" w:rsidP="00B3329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DEF">
        <w:rPr>
          <w:rFonts w:ascii="Times New Roman" w:hAnsi="Times New Roman" w:cs="Times New Roman"/>
          <w:sz w:val="28"/>
          <w:szCs w:val="28"/>
          <w:lang w:val="ru-RU"/>
        </w:rPr>
        <w:t>- упорядкува</w:t>
      </w:r>
      <w:r w:rsidR="001D7741">
        <w:rPr>
          <w:rFonts w:ascii="Times New Roman" w:hAnsi="Times New Roman" w:cs="Times New Roman"/>
          <w:sz w:val="28"/>
          <w:szCs w:val="28"/>
          <w:lang w:val="ru-RU"/>
        </w:rPr>
        <w:t>ння процесу розрахунку плати за</w:t>
      </w:r>
      <w:r w:rsidR="001D7741" w:rsidRPr="001D7741">
        <w:rPr>
          <w:rFonts w:ascii="Times New Roman" w:hAnsi="Times New Roman" w:cs="Times New Roman"/>
          <w:sz w:val="28"/>
          <w:szCs w:val="28"/>
          <w:lang w:val="ru-RU"/>
        </w:rPr>
        <w:t xml:space="preserve"> утримання будівель та прибудинкових територій і оплату комунальних послуг</w:t>
      </w:r>
      <w:r w:rsidRPr="000E6DE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883F6B" w:rsidRDefault="000E6DEF" w:rsidP="00883F6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6DEF">
        <w:rPr>
          <w:rFonts w:ascii="Times New Roman" w:hAnsi="Times New Roman" w:cs="Times New Roman"/>
          <w:sz w:val="28"/>
          <w:szCs w:val="28"/>
          <w:lang w:val="ru-RU"/>
        </w:rPr>
        <w:t>- збереження комунального майна</w:t>
      </w:r>
      <w:r w:rsidR="00883F6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83F6B" w:rsidRDefault="00883F6B" w:rsidP="00883F6B">
      <w:pPr>
        <w:widowControl w:val="0"/>
        <w:tabs>
          <w:tab w:val="left" w:pos="709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83F6B">
        <w:rPr>
          <w:rFonts w:ascii="Times New Roman" w:hAnsi="Times New Roman" w:cs="Times New Roman"/>
          <w:sz w:val="28"/>
          <w:szCs w:val="28"/>
          <w:lang w:val="ru-RU"/>
        </w:rPr>
        <w:t>збалансування видатків обласного бюджету на утримання об’єктів нерухомого майна, що належать до комунальної власності</w:t>
      </w:r>
    </w:p>
    <w:p w:rsidR="0037661B" w:rsidRDefault="0037661B" w:rsidP="0037661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661B" w:rsidRDefault="0037661B" w:rsidP="0037661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61B">
        <w:rPr>
          <w:rFonts w:ascii="Times New Roman" w:hAnsi="Times New Roman" w:cs="Times New Roman"/>
          <w:b/>
          <w:sz w:val="28"/>
          <w:szCs w:val="28"/>
          <w:lang w:val="ru-RU"/>
        </w:rPr>
        <w:t>III. Визначення та оцінка альтернативних способів досягнення цілей</w:t>
      </w:r>
    </w:p>
    <w:p w:rsidR="0037661B" w:rsidRDefault="0037661B" w:rsidP="0037661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37661B" w:rsidTr="0037661B">
        <w:tc>
          <w:tcPr>
            <w:tcW w:w="4839" w:type="dxa"/>
          </w:tcPr>
          <w:p w:rsidR="0037661B" w:rsidRDefault="0037661B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альтернативи</w:t>
            </w:r>
          </w:p>
        </w:tc>
        <w:tc>
          <w:tcPr>
            <w:tcW w:w="4840" w:type="dxa"/>
          </w:tcPr>
          <w:p w:rsidR="0037661B" w:rsidRDefault="0037661B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Опис альтернативи</w:t>
            </w:r>
          </w:p>
        </w:tc>
      </w:tr>
      <w:tr w:rsidR="0037661B" w:rsidTr="0037661B">
        <w:tc>
          <w:tcPr>
            <w:tcW w:w="4839" w:type="dxa"/>
          </w:tcPr>
          <w:p w:rsidR="0037661B" w:rsidRPr="0037661B" w:rsidRDefault="0037661B" w:rsidP="0037661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6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Альтернатива 1</w:t>
            </w:r>
          </w:p>
        </w:tc>
        <w:tc>
          <w:tcPr>
            <w:tcW w:w="4840" w:type="dxa"/>
          </w:tcPr>
          <w:p w:rsidR="0037661B" w:rsidRPr="00E1248A" w:rsidRDefault="0037661B" w:rsidP="005B03B6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Залишити чинний регуляторний акт (рішення Закарпатської обласної ради від </w:t>
            </w:r>
            <w:r w:rsidR="00E1248A">
              <w:rPr>
                <w:rFonts w:ascii="Times New Roman" w:hAnsi="Times New Roman" w:cs="Times New Roman"/>
                <w:sz w:val="28"/>
                <w:lang w:val="ru-RU"/>
              </w:rPr>
              <w:t>16 листопада 2006</w:t>
            </w:r>
            <w:r w:rsidR="00E1248A" w:rsidRPr="00E1248A">
              <w:rPr>
                <w:rFonts w:ascii="Times New Roman" w:hAnsi="Times New Roman" w:cs="Times New Roman"/>
                <w:sz w:val="28"/>
                <w:lang w:val="ru-RU"/>
              </w:rPr>
              <w:t xml:space="preserve"> № 146</w:t>
            </w:r>
            <w:r w:rsidR="00E1248A" w:rsidRPr="00E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1248A" w:rsidRPr="00E1248A">
              <w:rPr>
                <w:rFonts w:ascii="Times New Roman" w:hAnsi="Times New Roman" w:cs="Times New Roman"/>
                <w:sz w:val="28"/>
                <w:lang w:val="ru-RU"/>
              </w:rPr>
              <w:t xml:space="preserve">Про затвердження Типової угоди </w:t>
            </w:r>
            <w:r w:rsidR="00E1248A" w:rsidRPr="00E1248A">
              <w:rPr>
                <w:rFonts w:ascii="Times New Roman" w:hAnsi="Times New Roman" w:cs="Times New Roman"/>
                <w:noProof/>
                <w:sz w:val="28"/>
                <w:lang w:val="ru-RU"/>
              </w:rPr>
              <w:t>про відшкодування витрат балансоутримувачам на утримання орендованого нерухомого майна та надання комунальних послуг орендарю</w:t>
            </w:r>
            <w:r w:rsidRPr="00E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»). </w:t>
            </w:r>
          </w:p>
          <w:p w:rsidR="0037661B" w:rsidRDefault="0037661B" w:rsidP="005B03B6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661B" w:rsidRDefault="0037661B" w:rsidP="005B03B6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6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Невідповідність вимогам Закону України від 03 жовтня 2019 року № 157-ІХ «Про оренду державного і комунального майна». </w:t>
            </w:r>
          </w:p>
          <w:p w:rsidR="0037661B" w:rsidRDefault="0037661B" w:rsidP="005B03B6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661B" w:rsidRDefault="0037661B" w:rsidP="005B03B6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6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Альтернатива є недоцільною.</w:t>
            </w:r>
          </w:p>
        </w:tc>
      </w:tr>
      <w:tr w:rsidR="0037661B" w:rsidTr="0037661B">
        <w:tc>
          <w:tcPr>
            <w:tcW w:w="4839" w:type="dxa"/>
          </w:tcPr>
          <w:p w:rsidR="0037661B" w:rsidRPr="0037661B" w:rsidRDefault="0037661B" w:rsidP="0037661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6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Альтернатива 2</w:t>
            </w:r>
          </w:p>
        </w:tc>
        <w:tc>
          <w:tcPr>
            <w:tcW w:w="4840" w:type="dxa"/>
          </w:tcPr>
          <w:p w:rsidR="0037661B" w:rsidRDefault="0037661B" w:rsidP="005B03B6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6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Прийняття нового регуляторного акта. </w:t>
            </w:r>
          </w:p>
          <w:p w:rsidR="0037661B" w:rsidRDefault="0037661B" w:rsidP="005B03B6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661B" w:rsidRDefault="0037661B" w:rsidP="005B03B6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6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Відповідність вимогам Закону України від 03 жовтня 2019 року № 157-ІХ «Про оренду державного та комунального майна». </w:t>
            </w:r>
          </w:p>
          <w:p w:rsidR="0037661B" w:rsidRDefault="0037661B" w:rsidP="005B03B6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7661B" w:rsidRDefault="0037661B" w:rsidP="005B03B6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6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Найбільш доцільна альтернатива</w:t>
            </w:r>
          </w:p>
        </w:tc>
      </w:tr>
    </w:tbl>
    <w:p w:rsidR="0037661B" w:rsidRDefault="0037661B" w:rsidP="0037661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6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7661B" w:rsidRDefault="0037661B" w:rsidP="0037661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661B" w:rsidRPr="0037661B" w:rsidRDefault="0037661B" w:rsidP="00E1248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661B">
        <w:rPr>
          <w:rFonts w:ascii="Times New Roman" w:hAnsi="Times New Roman" w:cs="Times New Roman"/>
          <w:sz w:val="28"/>
          <w:szCs w:val="28"/>
          <w:lang w:val="ru-RU"/>
        </w:rPr>
        <w:t xml:space="preserve"> Оцінка вибраних альтернативних способів досягнення цілей</w:t>
      </w:r>
    </w:p>
    <w:p w:rsidR="005B03B6" w:rsidRDefault="005B03B6" w:rsidP="0037661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661B" w:rsidRDefault="0037661B" w:rsidP="0037661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661B">
        <w:rPr>
          <w:rFonts w:ascii="Times New Roman" w:hAnsi="Times New Roman" w:cs="Times New Roman"/>
          <w:sz w:val="28"/>
          <w:szCs w:val="28"/>
          <w:lang w:val="ru-RU"/>
        </w:rPr>
        <w:t>Оцінка впливу на сферу інтересів держави (територіальних громад)</w:t>
      </w:r>
    </w:p>
    <w:p w:rsidR="003668FC" w:rsidRDefault="003668FC" w:rsidP="0037661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3668FC" w:rsidRPr="00E1248A" w:rsidTr="003668FC">
        <w:tc>
          <w:tcPr>
            <w:tcW w:w="3226" w:type="dxa"/>
          </w:tcPr>
          <w:p w:rsidR="003668FC" w:rsidRDefault="003668FC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альтернативи</w:t>
            </w:r>
          </w:p>
        </w:tc>
        <w:tc>
          <w:tcPr>
            <w:tcW w:w="3226" w:type="dxa"/>
          </w:tcPr>
          <w:p w:rsidR="003668FC" w:rsidRDefault="003668FC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Вигоди</w:t>
            </w:r>
          </w:p>
        </w:tc>
        <w:tc>
          <w:tcPr>
            <w:tcW w:w="3227" w:type="dxa"/>
          </w:tcPr>
          <w:p w:rsidR="003668FC" w:rsidRDefault="003668FC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Витрати</w:t>
            </w:r>
          </w:p>
        </w:tc>
      </w:tr>
      <w:tr w:rsidR="003668FC" w:rsidRPr="00ED5A7C" w:rsidTr="003668FC">
        <w:tc>
          <w:tcPr>
            <w:tcW w:w="3226" w:type="dxa"/>
          </w:tcPr>
          <w:p w:rsidR="003668FC" w:rsidRPr="003668FC" w:rsidRDefault="003668FC" w:rsidP="003668F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Альтернатива 1</w:t>
            </w:r>
          </w:p>
        </w:tc>
        <w:tc>
          <w:tcPr>
            <w:tcW w:w="3226" w:type="dxa"/>
          </w:tcPr>
          <w:p w:rsidR="003668FC" w:rsidRPr="003668FC" w:rsidRDefault="003668FC" w:rsidP="003668FC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</w:t>
            </w:r>
          </w:p>
        </w:tc>
        <w:tc>
          <w:tcPr>
            <w:tcW w:w="3227" w:type="dxa"/>
          </w:tcPr>
          <w:p w:rsidR="003668FC" w:rsidRDefault="005B03B6" w:rsidP="005B03B6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Невідповідність вимогам Закону України від 03 жовтня 2019 року № 157-ІХ «Про оренду державного і комунального майна»</w:t>
            </w:r>
          </w:p>
          <w:p w:rsidR="005B03B6" w:rsidRDefault="005B03B6" w:rsidP="005B03B6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03B6" w:rsidRPr="005B03B6" w:rsidRDefault="005B03B6" w:rsidP="00E1248A">
            <w:pPr>
              <w:widowControl w:val="0"/>
              <w:autoSpaceDE w:val="0"/>
              <w:rPr>
                <w:lang w:val="ru-RU"/>
              </w:rPr>
            </w:pPr>
            <w:r w:rsidRPr="005B0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Незабезпечення: єдності вимог до оформлення договірних відносин, схоронності комунального майна, виконання догов</w:t>
            </w:r>
            <w:r w:rsidR="00883F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ірних умов, </w:t>
            </w:r>
            <w:r w:rsidR="00883F6B" w:rsidRPr="00883F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задоволення потреб орендаря у належних умовах здійснення діяльності</w:t>
            </w:r>
            <w:r w:rsidR="00883F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83F6B" w:rsidRPr="00883F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збалансування видатків обласного бюджету на утримання об’єктів нерухомого майна, що належать до комунальної власності області</w:t>
            </w:r>
            <w:r w:rsidR="00953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="00883F6B" w:rsidRPr="005B0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0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зниження рівня інвестицій; корупційні ризики; втрати обласного бюджету з огляду на низку неврегульованих питань та ситуативних факторів</w:t>
            </w:r>
          </w:p>
        </w:tc>
      </w:tr>
      <w:tr w:rsidR="003668FC" w:rsidTr="003668FC">
        <w:tc>
          <w:tcPr>
            <w:tcW w:w="3226" w:type="dxa"/>
          </w:tcPr>
          <w:p w:rsidR="003668FC" w:rsidRPr="0037661B" w:rsidRDefault="003668FC" w:rsidP="003668F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6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Альтернатива 2</w:t>
            </w:r>
          </w:p>
        </w:tc>
        <w:tc>
          <w:tcPr>
            <w:tcW w:w="3226" w:type="dxa"/>
          </w:tcPr>
          <w:p w:rsidR="003668FC" w:rsidRDefault="003668FC" w:rsidP="003668FC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 Закону України від 03 жовтня 2019 року № 157-ІХ «Про оренду 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ержавного і комунального майна»</w:t>
            </w:r>
          </w:p>
          <w:p w:rsidR="003668FC" w:rsidRDefault="003668FC" w:rsidP="003668FC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668FC" w:rsidRPr="003668FC" w:rsidRDefault="003668FC" w:rsidP="009537C2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Забезпечення: </w:t>
            </w:r>
            <w:r w:rsidR="009537C2" w:rsidRPr="005B0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єдності вимог до оформлення договірних відносин, схоронності комунального майна, виконання догов</w:t>
            </w:r>
            <w:r w:rsidR="00953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ірних умов, </w:t>
            </w:r>
            <w:r w:rsidR="009537C2" w:rsidRPr="00883F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задоволення потреб орендаря у належних умовах здійснення діяльності</w:t>
            </w:r>
            <w:r w:rsidR="00953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537C2" w:rsidRPr="00883F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збалансування видатків обласного бюджету на утримання об’єктів нерухомого майна, що належать до комунальної власності</w:t>
            </w:r>
            <w:r w:rsidR="00953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області; </w:t>
            </w:r>
            <w:r w:rsidRPr="0036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здійснення місцевого регулювання відносин, які виникають в процесі </w:t>
            </w:r>
            <w:r w:rsidR="00953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використання </w:t>
            </w:r>
            <w:r w:rsidRPr="0036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об'єктів нерухомого майна, що належить до комунальної власності області</w:t>
            </w:r>
          </w:p>
        </w:tc>
        <w:tc>
          <w:tcPr>
            <w:tcW w:w="3227" w:type="dxa"/>
          </w:tcPr>
          <w:p w:rsidR="003668FC" w:rsidRPr="003668FC" w:rsidRDefault="003668FC" w:rsidP="003668FC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</w:t>
            </w:r>
          </w:p>
        </w:tc>
      </w:tr>
    </w:tbl>
    <w:p w:rsidR="005B03B6" w:rsidRPr="005B03B6" w:rsidRDefault="005B03B6" w:rsidP="0037661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68FC" w:rsidRDefault="005B03B6" w:rsidP="0037661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03B6">
        <w:rPr>
          <w:rFonts w:ascii="Times New Roman" w:hAnsi="Times New Roman" w:cs="Times New Roman"/>
          <w:sz w:val="28"/>
          <w:szCs w:val="28"/>
          <w:lang w:val="ru-RU"/>
        </w:rPr>
        <w:t>Оцінка впливу на сферу інтересів громадян</w:t>
      </w:r>
    </w:p>
    <w:p w:rsidR="005B03B6" w:rsidRDefault="005B03B6" w:rsidP="0037661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5B03B6" w:rsidTr="00EC24D8">
        <w:tc>
          <w:tcPr>
            <w:tcW w:w="3226" w:type="dxa"/>
          </w:tcPr>
          <w:p w:rsidR="005B03B6" w:rsidRDefault="005B03B6" w:rsidP="00EC24D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альтернативи</w:t>
            </w:r>
          </w:p>
        </w:tc>
        <w:tc>
          <w:tcPr>
            <w:tcW w:w="3226" w:type="dxa"/>
          </w:tcPr>
          <w:p w:rsidR="005B03B6" w:rsidRDefault="005B03B6" w:rsidP="00EC24D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Вигоди</w:t>
            </w:r>
          </w:p>
        </w:tc>
        <w:tc>
          <w:tcPr>
            <w:tcW w:w="3227" w:type="dxa"/>
          </w:tcPr>
          <w:p w:rsidR="005B03B6" w:rsidRDefault="005B03B6" w:rsidP="00EC24D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Витрати</w:t>
            </w:r>
          </w:p>
        </w:tc>
      </w:tr>
      <w:tr w:rsidR="005B03B6" w:rsidTr="00EC24D8">
        <w:tc>
          <w:tcPr>
            <w:tcW w:w="3226" w:type="dxa"/>
          </w:tcPr>
          <w:p w:rsidR="005B03B6" w:rsidRPr="003668FC" w:rsidRDefault="005B03B6" w:rsidP="00EC24D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Альтернатива 1</w:t>
            </w:r>
          </w:p>
        </w:tc>
        <w:tc>
          <w:tcPr>
            <w:tcW w:w="3226" w:type="dxa"/>
          </w:tcPr>
          <w:p w:rsidR="005B03B6" w:rsidRPr="005B03B6" w:rsidRDefault="00E1248A" w:rsidP="00EC24D8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</w:t>
            </w:r>
          </w:p>
        </w:tc>
        <w:tc>
          <w:tcPr>
            <w:tcW w:w="3227" w:type="dxa"/>
          </w:tcPr>
          <w:p w:rsidR="005B03B6" w:rsidRPr="005B03B6" w:rsidRDefault="005B03B6" w:rsidP="00EC24D8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</w:t>
            </w:r>
          </w:p>
        </w:tc>
      </w:tr>
      <w:tr w:rsidR="005B03B6" w:rsidTr="00EC24D8">
        <w:tc>
          <w:tcPr>
            <w:tcW w:w="3226" w:type="dxa"/>
          </w:tcPr>
          <w:p w:rsidR="005B03B6" w:rsidRPr="0037661B" w:rsidRDefault="005B03B6" w:rsidP="00EC24D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6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Альтернатива 2</w:t>
            </w:r>
          </w:p>
        </w:tc>
        <w:tc>
          <w:tcPr>
            <w:tcW w:w="3226" w:type="dxa"/>
          </w:tcPr>
          <w:p w:rsidR="005B03B6" w:rsidRPr="005B03B6" w:rsidRDefault="005B03B6" w:rsidP="009537C2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Підтримання в належному стані орендованих приміщень, забезпечення збереження майна</w:t>
            </w:r>
            <w:r w:rsidR="00953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537C2" w:rsidRPr="00883F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задоволення потреб у належних умовах здійснення діяльності</w:t>
            </w:r>
            <w:r w:rsidRPr="00E124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227" w:type="dxa"/>
          </w:tcPr>
          <w:p w:rsidR="005B03B6" w:rsidRPr="005B03B6" w:rsidRDefault="005B03B6" w:rsidP="00EC24D8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</w:t>
            </w:r>
          </w:p>
        </w:tc>
      </w:tr>
    </w:tbl>
    <w:p w:rsidR="005B03B6" w:rsidRDefault="005B03B6" w:rsidP="0037661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03B6" w:rsidRDefault="005B03B6" w:rsidP="005B03B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03B6">
        <w:rPr>
          <w:rFonts w:ascii="Times New Roman" w:hAnsi="Times New Roman" w:cs="Times New Roman"/>
          <w:sz w:val="28"/>
          <w:szCs w:val="28"/>
          <w:lang w:val="ru-RU"/>
        </w:rPr>
        <w:t xml:space="preserve">Оцінка впливу на сферу інтересів </w:t>
      </w:r>
      <w:r w:rsidR="00EF104D">
        <w:rPr>
          <w:rFonts w:ascii="Times New Roman" w:hAnsi="Times New Roman" w:cs="Times New Roman"/>
          <w:sz w:val="28"/>
          <w:szCs w:val="28"/>
          <w:lang w:val="ru-RU"/>
        </w:rPr>
        <w:t>суб</w:t>
      </w:r>
      <w:r w:rsidR="00EF104D" w:rsidRPr="00EF104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F104D">
        <w:rPr>
          <w:rFonts w:ascii="Times New Roman" w:hAnsi="Times New Roman" w:cs="Times New Roman"/>
          <w:sz w:val="28"/>
          <w:szCs w:val="28"/>
          <w:lang w:val="ru-RU"/>
        </w:rPr>
        <w:t>єктів господарювання</w:t>
      </w:r>
    </w:p>
    <w:p w:rsidR="00EF104D" w:rsidRDefault="00EF104D" w:rsidP="005B03B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104D" w:rsidRPr="00EF104D" w:rsidRDefault="00EF104D" w:rsidP="00EF104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04D">
        <w:rPr>
          <w:rFonts w:ascii="Times New Roman" w:hAnsi="Times New Roman" w:cs="Times New Roman"/>
          <w:sz w:val="28"/>
          <w:szCs w:val="28"/>
          <w:lang w:val="ru-RU"/>
        </w:rPr>
        <w:t xml:space="preserve">Припустимо, що кількість суб’єктів господарювання (орендарі </w:t>
      </w:r>
      <w:r w:rsidR="00D87B4A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r w:rsidRPr="00EF104D">
        <w:rPr>
          <w:rFonts w:ascii="Times New Roman" w:hAnsi="Times New Roman" w:cs="Times New Roman"/>
          <w:sz w:val="28"/>
          <w:szCs w:val="28"/>
          <w:lang w:val="ru-RU"/>
        </w:rPr>
        <w:t xml:space="preserve"> майна), що мають виконати вимоги регулювання, становитиме </w:t>
      </w:r>
      <w:r w:rsidR="00D87B4A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EF104D"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5B03B6" w:rsidRDefault="005B03B6" w:rsidP="0037661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EF104D" w:rsidTr="00EF104D">
        <w:tc>
          <w:tcPr>
            <w:tcW w:w="2419" w:type="dxa"/>
          </w:tcPr>
          <w:p w:rsidR="00EF104D" w:rsidRDefault="00EF104D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420" w:type="dxa"/>
          </w:tcPr>
          <w:p w:rsidR="00EF104D" w:rsidRDefault="00EF104D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Великі</w:t>
            </w:r>
          </w:p>
          <w:p w:rsidR="00EF104D" w:rsidRDefault="00EF104D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2420" w:type="dxa"/>
          </w:tcPr>
          <w:p w:rsidR="00EF104D" w:rsidRDefault="00EF104D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Малі</w:t>
            </w:r>
          </w:p>
          <w:p w:rsidR="00EF104D" w:rsidRDefault="00EF104D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2420" w:type="dxa"/>
          </w:tcPr>
          <w:p w:rsidR="00EF104D" w:rsidRDefault="00EF104D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</w:tr>
      <w:tr w:rsidR="00EF104D" w:rsidTr="00EF104D">
        <w:tc>
          <w:tcPr>
            <w:tcW w:w="2419" w:type="dxa"/>
          </w:tcPr>
          <w:p w:rsidR="00EF104D" w:rsidRDefault="00EF104D" w:rsidP="00EF104D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F104D" w:rsidRPr="00EF104D" w:rsidRDefault="00EF104D" w:rsidP="00EF104D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2420" w:type="dxa"/>
          </w:tcPr>
          <w:p w:rsidR="00EF104D" w:rsidRPr="00EF104D" w:rsidRDefault="00EF104D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20" w:type="dxa"/>
          </w:tcPr>
          <w:p w:rsidR="00EF104D" w:rsidRPr="00EF104D" w:rsidRDefault="00D87B4A" w:rsidP="009537C2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20" w:type="dxa"/>
          </w:tcPr>
          <w:p w:rsidR="00EF104D" w:rsidRPr="00EF104D" w:rsidRDefault="00D87B4A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EF104D" w:rsidTr="00EF104D">
        <w:tc>
          <w:tcPr>
            <w:tcW w:w="2419" w:type="dxa"/>
          </w:tcPr>
          <w:p w:rsidR="00EF104D" w:rsidRPr="00EF104D" w:rsidRDefault="00EF104D" w:rsidP="00EF104D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Питома вага групи у загальній кількості, відсотків</w:t>
            </w:r>
          </w:p>
        </w:tc>
        <w:tc>
          <w:tcPr>
            <w:tcW w:w="2420" w:type="dxa"/>
          </w:tcPr>
          <w:p w:rsidR="00EF104D" w:rsidRPr="00EF104D" w:rsidRDefault="00EF104D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20" w:type="dxa"/>
          </w:tcPr>
          <w:p w:rsidR="00EF104D" w:rsidRPr="00EF104D" w:rsidRDefault="00EF104D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20" w:type="dxa"/>
          </w:tcPr>
          <w:p w:rsidR="00EF104D" w:rsidRPr="00EF104D" w:rsidRDefault="00EF104D" w:rsidP="0037661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EF104D" w:rsidRDefault="00EF104D" w:rsidP="0037661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04D" w:rsidRDefault="00EF104D" w:rsidP="00EF104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104D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  <w:r w:rsidRPr="00EF104D">
        <w:rPr>
          <w:rFonts w:ascii="Times New Roman" w:hAnsi="Times New Roman" w:cs="Times New Roman"/>
          <w:sz w:val="24"/>
          <w:szCs w:val="24"/>
          <w:lang w:val="ru-RU"/>
        </w:rPr>
        <w:t xml:space="preserve">На прикладі </w:t>
      </w:r>
      <w:r w:rsidR="00D87B4A" w:rsidRPr="00EF104D">
        <w:rPr>
          <w:rFonts w:ascii="Times New Roman" w:hAnsi="Times New Roman" w:cs="Times New Roman"/>
          <w:sz w:val="24"/>
          <w:szCs w:val="24"/>
          <w:lang w:val="ru-RU"/>
        </w:rPr>
        <w:t xml:space="preserve">орендних відносин щодо </w:t>
      </w:r>
      <w:r w:rsidR="00D87B4A">
        <w:rPr>
          <w:rFonts w:ascii="Times New Roman" w:hAnsi="Times New Roman" w:cs="Times New Roman"/>
          <w:sz w:val="24"/>
          <w:szCs w:val="24"/>
          <w:lang w:val="ru-RU"/>
        </w:rPr>
        <w:t>комунального</w:t>
      </w:r>
      <w:r w:rsidR="00D87B4A" w:rsidRPr="00EF104D">
        <w:rPr>
          <w:rFonts w:ascii="Times New Roman" w:hAnsi="Times New Roman" w:cs="Times New Roman"/>
          <w:sz w:val="24"/>
          <w:szCs w:val="24"/>
          <w:lang w:val="ru-RU"/>
        </w:rPr>
        <w:t xml:space="preserve"> майна за даними стосовно кількості укладених </w:t>
      </w:r>
      <w:r w:rsidR="00D87B4A">
        <w:rPr>
          <w:rFonts w:ascii="Times New Roman" w:hAnsi="Times New Roman" w:cs="Times New Roman"/>
          <w:sz w:val="24"/>
          <w:szCs w:val="24"/>
          <w:lang w:val="ru-RU"/>
        </w:rPr>
        <w:t>УСВ ЗОР</w:t>
      </w:r>
      <w:r w:rsidR="00D87B4A" w:rsidRPr="00EF104D">
        <w:rPr>
          <w:rFonts w:ascii="Times New Roman" w:hAnsi="Times New Roman" w:cs="Times New Roman"/>
          <w:sz w:val="24"/>
          <w:szCs w:val="24"/>
          <w:lang w:val="ru-RU"/>
        </w:rPr>
        <w:t xml:space="preserve"> договорів </w:t>
      </w:r>
      <w:r w:rsidR="00D87B4A" w:rsidRPr="009537C2">
        <w:rPr>
          <w:rFonts w:ascii="Times New Roman" w:hAnsi="Times New Roman" w:cs="Times New Roman"/>
          <w:sz w:val="24"/>
          <w:szCs w:val="24"/>
          <w:lang w:val="ru-RU"/>
        </w:rPr>
        <w:t>про відшкодування витрат на утримання нерухомого майна і прибудинкової території, укладених УСВ ЗОР</w:t>
      </w:r>
      <w:r w:rsidR="00D87B4A">
        <w:rPr>
          <w:rFonts w:ascii="Times New Roman" w:hAnsi="Times New Roman" w:cs="Times New Roman"/>
          <w:sz w:val="24"/>
          <w:szCs w:val="24"/>
          <w:lang w:val="ru-RU"/>
        </w:rPr>
        <w:t xml:space="preserve"> за комерційними орендними ставками </w:t>
      </w:r>
      <w:r w:rsidRPr="00EF104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87B4A">
        <w:rPr>
          <w:rFonts w:ascii="Times New Roman" w:hAnsi="Times New Roman" w:cs="Times New Roman"/>
          <w:sz w:val="24"/>
          <w:szCs w:val="24"/>
          <w:lang w:val="ru-RU"/>
        </w:rPr>
        <w:t>35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станом на 01.07</w:t>
      </w:r>
      <w:r w:rsidRPr="00EF104D">
        <w:rPr>
          <w:rFonts w:ascii="Times New Roman" w:hAnsi="Times New Roman" w:cs="Times New Roman"/>
          <w:sz w:val="24"/>
          <w:szCs w:val="24"/>
          <w:lang w:val="ru-RU"/>
        </w:rPr>
        <w:t>.2020)</w:t>
      </w:r>
    </w:p>
    <w:p w:rsidR="00EF104D" w:rsidRPr="00EF104D" w:rsidRDefault="00EF104D" w:rsidP="00EF104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5B03B6" w:rsidTr="00EC24D8">
        <w:tc>
          <w:tcPr>
            <w:tcW w:w="3226" w:type="dxa"/>
          </w:tcPr>
          <w:p w:rsidR="005B03B6" w:rsidRDefault="005B03B6" w:rsidP="00EC24D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альтернативи</w:t>
            </w:r>
          </w:p>
        </w:tc>
        <w:tc>
          <w:tcPr>
            <w:tcW w:w="3226" w:type="dxa"/>
          </w:tcPr>
          <w:p w:rsidR="005B03B6" w:rsidRDefault="005B03B6" w:rsidP="00EC24D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Вигоди</w:t>
            </w:r>
          </w:p>
        </w:tc>
        <w:tc>
          <w:tcPr>
            <w:tcW w:w="3227" w:type="dxa"/>
          </w:tcPr>
          <w:p w:rsidR="005B03B6" w:rsidRDefault="005B03B6" w:rsidP="00EC24D8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Витрати</w:t>
            </w:r>
          </w:p>
        </w:tc>
      </w:tr>
      <w:tr w:rsidR="005B03B6" w:rsidRPr="00ED5A7C" w:rsidTr="00EC24D8">
        <w:tc>
          <w:tcPr>
            <w:tcW w:w="3226" w:type="dxa"/>
          </w:tcPr>
          <w:p w:rsidR="005B03B6" w:rsidRPr="003668FC" w:rsidRDefault="005B03B6" w:rsidP="00EC24D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Альтернатива 1</w:t>
            </w:r>
          </w:p>
        </w:tc>
        <w:tc>
          <w:tcPr>
            <w:tcW w:w="3226" w:type="dxa"/>
          </w:tcPr>
          <w:p w:rsidR="00EF104D" w:rsidRPr="00EF104D" w:rsidRDefault="00EF104D" w:rsidP="00EC24D8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Вплив на сферу інтересів суб’єктів господарювання залишається без змін</w:t>
            </w:r>
          </w:p>
        </w:tc>
        <w:tc>
          <w:tcPr>
            <w:tcW w:w="3227" w:type="dxa"/>
          </w:tcPr>
          <w:p w:rsidR="005B03B6" w:rsidRPr="00EF104D" w:rsidRDefault="00EF104D" w:rsidP="00DE39E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Витрати на </w:t>
            </w:r>
            <w:r w:rsidR="00DE39EF" w:rsidRPr="002967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оплату комунальних послуг і утримання комунального майна області</w:t>
            </w:r>
            <w:r w:rsidR="00DE39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залишиться незмінні</w:t>
            </w:r>
          </w:p>
        </w:tc>
      </w:tr>
      <w:tr w:rsidR="005B03B6" w:rsidTr="00EC24D8">
        <w:tc>
          <w:tcPr>
            <w:tcW w:w="3226" w:type="dxa"/>
          </w:tcPr>
          <w:p w:rsidR="005B03B6" w:rsidRPr="0037661B" w:rsidRDefault="005B03B6" w:rsidP="00EC24D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6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Альтернатива 2</w:t>
            </w:r>
          </w:p>
        </w:tc>
        <w:tc>
          <w:tcPr>
            <w:tcW w:w="3226" w:type="dxa"/>
          </w:tcPr>
          <w:p w:rsidR="005B03B6" w:rsidRDefault="005B03B6" w:rsidP="00EC24D8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10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Підтримання в належному стані орендованих приміщень, забезпечення збереження майна.</w:t>
            </w:r>
          </w:p>
          <w:p w:rsidR="00DE39EF" w:rsidRPr="005B03B6" w:rsidRDefault="00DE39EF" w:rsidP="00DE39EF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883F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адоволення потреб у належних умовах здійснення діяльності</w:t>
            </w:r>
          </w:p>
        </w:tc>
        <w:tc>
          <w:tcPr>
            <w:tcW w:w="3227" w:type="dxa"/>
          </w:tcPr>
          <w:p w:rsidR="005B03B6" w:rsidRPr="005B03B6" w:rsidRDefault="005B03B6" w:rsidP="00EC24D8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3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</w:t>
            </w:r>
          </w:p>
        </w:tc>
      </w:tr>
    </w:tbl>
    <w:p w:rsidR="00EF104D" w:rsidRDefault="00EF104D" w:rsidP="0037661B">
      <w:pPr>
        <w:widowControl w:val="0"/>
        <w:autoSpaceDE w:val="0"/>
        <w:spacing w:after="0" w:line="240" w:lineRule="auto"/>
        <w:jc w:val="center"/>
        <w:rPr>
          <w:lang w:val="ru-RU"/>
        </w:rPr>
      </w:pPr>
    </w:p>
    <w:p w:rsidR="005B03B6" w:rsidRDefault="00EF104D" w:rsidP="00EF104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04D">
        <w:rPr>
          <w:rFonts w:ascii="Times New Roman" w:hAnsi="Times New Roman" w:cs="Times New Roman"/>
          <w:sz w:val="28"/>
          <w:szCs w:val="28"/>
          <w:lang w:val="ru-RU"/>
        </w:rPr>
        <w:t>Регуляторний акт захищає інтереси як держави (територіальних громад), так і суспільства, оскільки забезпечується ефективне використання комунального майна, прямим результатом чого є поповнення обласного бюджету.</w:t>
      </w:r>
    </w:p>
    <w:p w:rsidR="00E1248A" w:rsidRPr="00BA636D" w:rsidRDefault="00E1248A" w:rsidP="004B715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715A" w:rsidRDefault="004B715A" w:rsidP="004B715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b/>
          <w:sz w:val="28"/>
          <w:szCs w:val="28"/>
        </w:rPr>
        <w:t>IV</w:t>
      </w:r>
      <w:r w:rsidRPr="004B715A">
        <w:rPr>
          <w:rFonts w:ascii="Times New Roman" w:hAnsi="Times New Roman" w:cs="Times New Roman"/>
          <w:b/>
          <w:sz w:val="28"/>
          <w:szCs w:val="28"/>
          <w:lang w:val="ru-RU"/>
        </w:rPr>
        <w:t>. Вибір найбільш оптимального альтернативного способу досягнення цілей</w:t>
      </w:r>
    </w:p>
    <w:p w:rsidR="004B715A" w:rsidRDefault="004B715A" w:rsidP="004B715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4B715A" w:rsidRPr="00ED5A7C" w:rsidTr="004B715A">
        <w:tc>
          <w:tcPr>
            <w:tcW w:w="3226" w:type="dxa"/>
          </w:tcPr>
          <w:p w:rsidR="004B715A" w:rsidRPr="004B715A" w:rsidRDefault="004B715A" w:rsidP="004B715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71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226" w:type="dxa"/>
          </w:tcPr>
          <w:p w:rsidR="004B715A" w:rsidRPr="004B715A" w:rsidRDefault="004B715A" w:rsidP="004B715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71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 результативнос ті (за чотирибальною системою оцінки)</w:t>
            </w:r>
          </w:p>
        </w:tc>
        <w:tc>
          <w:tcPr>
            <w:tcW w:w="3227" w:type="dxa"/>
          </w:tcPr>
          <w:p w:rsidR="004B715A" w:rsidRPr="004B715A" w:rsidRDefault="004B715A" w:rsidP="004B715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71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Коментарі щодо присвоєння відповідного балу</w:t>
            </w:r>
          </w:p>
        </w:tc>
      </w:tr>
      <w:tr w:rsidR="004B715A" w:rsidRPr="00ED5A7C" w:rsidTr="004B715A">
        <w:tc>
          <w:tcPr>
            <w:tcW w:w="3226" w:type="dxa"/>
          </w:tcPr>
          <w:p w:rsidR="004B715A" w:rsidRPr="003668FC" w:rsidRDefault="004B715A" w:rsidP="004B715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Альтернатива 1</w:t>
            </w:r>
          </w:p>
        </w:tc>
        <w:tc>
          <w:tcPr>
            <w:tcW w:w="3226" w:type="dxa"/>
          </w:tcPr>
          <w:p w:rsidR="004B715A" w:rsidRPr="004B715A" w:rsidRDefault="004B715A" w:rsidP="004B715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7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27" w:type="dxa"/>
          </w:tcPr>
          <w:p w:rsidR="004B715A" w:rsidRPr="004B715A" w:rsidRDefault="004B715A" w:rsidP="004B715A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7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Збереження чинного регулювання не дає змоги досягнути мети державного регулювання, визначеної у пункті 2.</w:t>
            </w:r>
          </w:p>
        </w:tc>
      </w:tr>
      <w:tr w:rsidR="004B715A" w:rsidRPr="00ED5A7C" w:rsidTr="004B715A">
        <w:tc>
          <w:tcPr>
            <w:tcW w:w="3226" w:type="dxa"/>
          </w:tcPr>
          <w:p w:rsidR="004B715A" w:rsidRPr="0037661B" w:rsidRDefault="004B715A" w:rsidP="004B715A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66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Альтернатива 2</w:t>
            </w:r>
          </w:p>
        </w:tc>
        <w:tc>
          <w:tcPr>
            <w:tcW w:w="3226" w:type="dxa"/>
          </w:tcPr>
          <w:p w:rsidR="004B715A" w:rsidRPr="004B715A" w:rsidRDefault="004B715A" w:rsidP="004B715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7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27" w:type="dxa"/>
          </w:tcPr>
          <w:p w:rsidR="004B715A" w:rsidRPr="004B715A" w:rsidRDefault="004B715A" w:rsidP="00DE39EF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7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Є найбільш прийнятним та ефективним способом, який дозволить досягти мети державного регулювання та встановить єдині вимоги до оформлення договірних відносин у сфері </w:t>
            </w:r>
            <w:r w:rsidR="00DE39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комунального</w:t>
            </w:r>
            <w:r w:rsidRPr="004B7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майна</w:t>
            </w:r>
          </w:p>
        </w:tc>
      </w:tr>
    </w:tbl>
    <w:p w:rsidR="004B715A" w:rsidRDefault="004B715A" w:rsidP="004B715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715A" w:rsidRPr="004B715A" w:rsidRDefault="004B715A" w:rsidP="004B715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b/>
          <w:sz w:val="28"/>
          <w:szCs w:val="28"/>
        </w:rPr>
        <w:t>V</w:t>
      </w:r>
      <w:r w:rsidRPr="004B715A">
        <w:rPr>
          <w:rFonts w:ascii="Times New Roman" w:hAnsi="Times New Roman" w:cs="Times New Roman"/>
          <w:b/>
          <w:sz w:val="28"/>
          <w:szCs w:val="28"/>
          <w:lang w:val="ru-RU"/>
        </w:rPr>
        <w:t>. Механізми та заходи, які забезпечать розв'язання визначеної проблеми</w:t>
      </w:r>
    </w:p>
    <w:p w:rsidR="004B715A" w:rsidRDefault="004B715A" w:rsidP="004B715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15A" w:rsidRDefault="004B715A" w:rsidP="004B715A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Механізм дії регуляторного акта. </w:t>
      </w:r>
    </w:p>
    <w:p w:rsidR="004B715A" w:rsidRDefault="004B71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Основним механізмом для розв’язання визначеної проблеми є прийняття на заміну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рішення Закарпатської обласної ради </w:t>
      </w:r>
      <w:r w:rsidR="00DE39EF" w:rsidRPr="00E1248A">
        <w:rPr>
          <w:rFonts w:ascii="Times New Roman" w:hAnsi="Times New Roman" w:cs="Times New Roman"/>
          <w:sz w:val="28"/>
          <w:szCs w:val="28"/>
          <w:lang w:val="ru-RU"/>
        </w:rPr>
        <w:t xml:space="preserve">від </w:t>
      </w:r>
      <w:r w:rsidR="00DE39EF">
        <w:rPr>
          <w:rFonts w:ascii="Times New Roman" w:hAnsi="Times New Roman" w:cs="Times New Roman"/>
          <w:sz w:val="28"/>
          <w:lang w:val="ru-RU"/>
        </w:rPr>
        <w:t>16 листопада 2006</w:t>
      </w:r>
      <w:r w:rsidR="00DE39EF" w:rsidRPr="00E1248A">
        <w:rPr>
          <w:rFonts w:ascii="Times New Roman" w:hAnsi="Times New Roman" w:cs="Times New Roman"/>
          <w:sz w:val="28"/>
          <w:lang w:val="ru-RU"/>
        </w:rPr>
        <w:t xml:space="preserve"> № 146</w:t>
      </w:r>
      <w:r w:rsidR="00DE39EF" w:rsidRPr="00E1248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DE39EF" w:rsidRPr="00E1248A">
        <w:rPr>
          <w:rFonts w:ascii="Times New Roman" w:hAnsi="Times New Roman" w:cs="Times New Roman"/>
          <w:sz w:val="28"/>
          <w:lang w:val="ru-RU"/>
        </w:rPr>
        <w:t xml:space="preserve">Про затвердження Типової угоди </w:t>
      </w:r>
      <w:r w:rsidR="00DE39EF" w:rsidRPr="00E1248A">
        <w:rPr>
          <w:rFonts w:ascii="Times New Roman" w:hAnsi="Times New Roman" w:cs="Times New Roman"/>
          <w:noProof/>
          <w:sz w:val="28"/>
          <w:lang w:val="ru-RU"/>
        </w:rPr>
        <w:t>про відшкодування витрат балансоутримувачам на утримання орендованого нерухомого майна та надання комунальних послуг орендарю</w:t>
      </w:r>
      <w:r w:rsidR="00DE39EF" w:rsidRPr="00E1248A">
        <w:rPr>
          <w:rFonts w:ascii="Times New Roman" w:hAnsi="Times New Roman" w:cs="Times New Roman"/>
          <w:sz w:val="28"/>
          <w:szCs w:val="28"/>
          <w:lang w:val="ru-RU"/>
        </w:rPr>
        <w:t>»)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запропонованого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r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, з одночасним приведенням деяких положень у відповідність із вимогами Закону України від 03 жовтня 2019 року № 157-ІХ «Про оренду державного та комунального майна», та фактична реалізація його положень. </w:t>
      </w:r>
    </w:p>
    <w:p w:rsidR="004B715A" w:rsidRDefault="004B71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Реалізація положень проєкту </w:t>
      </w:r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r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 сприятиме забезпеченню єдиного підходу до оформлення договірних відносин, визначеного вимогами закону. </w:t>
      </w:r>
    </w:p>
    <w:p w:rsidR="004B715A" w:rsidRDefault="004B71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15A" w:rsidRPr="004B715A" w:rsidRDefault="004B715A" w:rsidP="004B715A">
      <w:pPr>
        <w:pStyle w:val="a3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Організаційні заходи впровадження регуляторного акта в дію. </w:t>
      </w:r>
    </w:p>
    <w:p w:rsidR="004B715A" w:rsidRDefault="004B71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Для розв’язання проблем, визначених у розділі І, передбачається встановити єдині вимоги до оформлення договірних орендних відносин. </w:t>
      </w:r>
    </w:p>
    <w:p w:rsidR="004B715A" w:rsidRDefault="00DE39EF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Балансоутримувачам комунального майна області</w:t>
      </w:r>
      <w:r w:rsidR="004B715A"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 для впровадження вимог державного регулювання необхідно: </w:t>
      </w:r>
    </w:p>
    <w:p w:rsidR="004B715A" w:rsidRDefault="004B71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1) забезпечити інформування про вимоги регуляторного акта суб’єктів господарювання шляхом оприлюднення регуляторного акта на офіційному веб-сайті; </w:t>
      </w:r>
    </w:p>
    <w:p w:rsidR="004B715A" w:rsidRDefault="004B71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2) організувати виконання вимог регулювання. </w:t>
      </w:r>
    </w:p>
    <w:p w:rsidR="004B715A" w:rsidRDefault="004B71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Суб’єктам господарювання для впровадження вимог регулювання необхідно: </w:t>
      </w:r>
    </w:p>
    <w:p w:rsidR="004B715A" w:rsidRDefault="004B71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1) ознайомитися з вимогами регулювання; </w:t>
      </w:r>
    </w:p>
    <w:p w:rsidR="004B715A" w:rsidRDefault="004B71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sz w:val="28"/>
          <w:szCs w:val="28"/>
          <w:lang w:val="ru-RU"/>
        </w:rPr>
        <w:t>2) організувати виконання вимог регулювання.</w:t>
      </w:r>
    </w:p>
    <w:p w:rsidR="004B715A" w:rsidRDefault="004B71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15A" w:rsidRPr="004B715A" w:rsidRDefault="004B715A" w:rsidP="004B715A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b/>
          <w:sz w:val="28"/>
          <w:szCs w:val="28"/>
        </w:rPr>
        <w:t>VI</w:t>
      </w:r>
      <w:r w:rsidRPr="004B715A">
        <w:rPr>
          <w:rFonts w:ascii="Times New Roman" w:hAnsi="Times New Roman" w:cs="Times New Roman"/>
          <w:b/>
          <w:sz w:val="28"/>
          <w:szCs w:val="28"/>
          <w:lang w:val="ru-RU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B715A" w:rsidRDefault="004B71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715A" w:rsidRDefault="004B71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sz w:val="28"/>
          <w:szCs w:val="28"/>
          <w:lang w:val="ru-RU"/>
        </w:rPr>
        <w:t xml:space="preserve">Реалізація регуляторного акта не передбачає нових витрат, пов’язаних із здійсненням органом виконавчої влади функцій сторони договору (орендодавця) (здійснюються спеціалістами у межах службових повноважень). </w:t>
      </w:r>
    </w:p>
    <w:p w:rsidR="004B715A" w:rsidRDefault="004B71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15A">
        <w:rPr>
          <w:rFonts w:ascii="Times New Roman" w:hAnsi="Times New Roman" w:cs="Times New Roman"/>
          <w:sz w:val="28"/>
          <w:szCs w:val="28"/>
          <w:lang w:val="ru-RU"/>
        </w:rPr>
        <w:t>Передбачаються можливі витрати через збільшення часових витрат на здійснення певних дій з надання консультацій та роз’яснень (усних, письмових) суб’єктам господарювання – учасникам договірних відносин.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Прийняття та оприлюднення запропонованого акта в установленому порядку забезпечить доведення його до відома усіх учасників, які підпадають під дію акта.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Досягнення цілей не передбачає додаткових організаційних заходів.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Можлива шкода у разі очікуваних результатів дії акта не прогнозується.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Прийняття проєкту </w:t>
      </w:r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 не призведе до неочікуваних результатів і не потребує додаткових витрат з </w:t>
      </w:r>
      <w:r>
        <w:rPr>
          <w:rFonts w:ascii="Times New Roman" w:hAnsi="Times New Roman" w:cs="Times New Roman"/>
          <w:sz w:val="28"/>
          <w:szCs w:val="28"/>
          <w:lang w:val="ru-RU"/>
        </w:rPr>
        <w:t>обласного</w:t>
      </w: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 бюджету.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>Державний контроль за додержанням вимог цього регуляторного акта буде здійснюватися контролюючими органами відповідно до компетенції</w:t>
      </w:r>
      <w:r w:rsidRPr="00BC175A">
        <w:rPr>
          <w:lang w:val="ru-RU"/>
        </w:rPr>
        <w:t>.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lang w:val="ru-RU"/>
        </w:rPr>
      </w:pP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b/>
          <w:sz w:val="28"/>
          <w:szCs w:val="28"/>
        </w:rPr>
        <w:t>VII</w:t>
      </w:r>
      <w:r w:rsidRPr="00BC17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Обґрунтування запропонованого строку дії регуляторного акта </w:t>
      </w:r>
    </w:p>
    <w:p w:rsidR="00BC175A" w:rsidRP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Запропонований проєкт </w:t>
      </w:r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 буде діяти до прийняття змін до акта, до прийняття змін до нормативно-правових актів, що мають вищу юридичну силу, які стосуються зазначеної сфери регулювання,</w:t>
      </w:r>
      <w:r w:rsidR="00DE39EF">
        <w:rPr>
          <w:rFonts w:ascii="Times New Roman" w:hAnsi="Times New Roman" w:cs="Times New Roman"/>
          <w:sz w:val="28"/>
          <w:szCs w:val="28"/>
          <w:lang w:val="ru-RU"/>
        </w:rPr>
        <w:t xml:space="preserve"> або до </w:t>
      </w: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моменту визнання його таким, що втратив чинність.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>Проєкт акта набере чинності з дня його офіційного опублікування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175A" w:rsidRP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175A" w:rsidRP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b/>
          <w:sz w:val="28"/>
          <w:szCs w:val="28"/>
        </w:rPr>
        <w:t>VIII</w:t>
      </w:r>
      <w:r w:rsidRPr="00BC17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Визначення показників результативності дії регуляторного акта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Показниками результативності запропонованого акта будуть: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- розмір надходжень, пов'язаних з дією акта;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- кількість суб'єктів господарювання та/або фізичних осіб, на яких поширюватиметься дія акта;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- час, що витрачатиметься суб'єктами господарювання, пов'язаними з виконанням вимог акта;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- рівень поінформованості суб'єктів господарювання з основних положень акта; </w:t>
      </w:r>
    </w:p>
    <w:p w:rsidR="00BC175A" w:rsidRDefault="00BC175A" w:rsidP="00DE39E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- кількість договорів </w:t>
      </w:r>
      <w:r w:rsidR="00DE39EF" w:rsidRPr="002967CF">
        <w:rPr>
          <w:rFonts w:ascii="Times New Roman" w:hAnsi="Times New Roman" w:cs="Times New Roman"/>
          <w:sz w:val="28"/>
          <w:szCs w:val="28"/>
          <w:lang w:val="ru-RU"/>
        </w:rPr>
        <w:t>про порядок участі орендаря (суборендаря) у компенсації (відшкодуванні) витрат на оплату комунальних послуг і утримання комунального майна області (майна спільної власності територіальних громад сіл, селищ, міст області</w:t>
      </w:r>
      <w:r w:rsidR="00DE39E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- кількість припинених договорів </w:t>
      </w:r>
      <w:r w:rsidR="00DE39EF" w:rsidRPr="002967CF">
        <w:rPr>
          <w:rFonts w:ascii="Times New Roman" w:hAnsi="Times New Roman" w:cs="Times New Roman"/>
          <w:sz w:val="28"/>
          <w:szCs w:val="28"/>
          <w:lang w:val="ru-RU"/>
        </w:rPr>
        <w:t>про порядок участі орендаря (суборендаря) у компенсації (відшкодуванні) витрат на оплату комунальних послуг і утримання комунального майна області (майна спільної власності територіальних громад сіл, селищ, міст області</w:t>
      </w:r>
      <w:r w:rsidR="00DE39E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75A" w:rsidRPr="00BC175A" w:rsidRDefault="00BC175A" w:rsidP="00BC175A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b/>
          <w:sz w:val="28"/>
          <w:szCs w:val="28"/>
        </w:rPr>
        <w:t>IX</w:t>
      </w:r>
      <w:r w:rsidRPr="00BC175A">
        <w:rPr>
          <w:rFonts w:ascii="Times New Roman" w:hAnsi="Times New Roman" w:cs="Times New Roman"/>
          <w:b/>
          <w:sz w:val="28"/>
          <w:szCs w:val="28"/>
          <w:lang w:val="ru-RU"/>
        </w:rPr>
        <w:t>. Визначення заходів, за допомогою яких здійснюватиметься відстеження результативності дії регуляторного акта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>Відстеження результативності регуляторного акта буде відбуватися в порядку, передбаченому ст. 10 Закону України «Про засади державної регуляторної політики у сфері господарської діяльності» шляхом здійснення базового, повторного та періодичного відстеження його результативності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Базове відстеження результативності акта буде здійснено після набрання чинності цим актом шляхом аналізу та підрахунку статистичних даних, але не пізніше дня, з якого починається проведення повторного відстеження результативності цього акта.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Повторне відстеження результативності регуляторного акта здійснюватиметься через рік з дня набрання чинності цим регуляторним актом, але не пізніше двох років після набрання ним чинності. За результатами даного відстеження відбудеться порівняння показників базового та повторного відстеження. </w:t>
      </w:r>
    </w:p>
    <w:p w:rsidR="00BC175A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 xml:space="preserve">Періодичне відстеження результативності цього регуляторного акта здійснюватиметься раз на три роки, починаючи з дня виконання заходів з повторного відстеження результативності. </w:t>
      </w:r>
    </w:p>
    <w:p w:rsidR="00E61487" w:rsidRDefault="00BC175A" w:rsidP="004B715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175A">
        <w:rPr>
          <w:rFonts w:ascii="Times New Roman" w:hAnsi="Times New Roman" w:cs="Times New Roman"/>
          <w:sz w:val="28"/>
          <w:szCs w:val="28"/>
          <w:lang w:val="ru-RU"/>
        </w:rPr>
        <w:t>Відстеження результативності цього регуляторного акта буде здійснюватися за допомогою статистичних даних. У разі виявлення неврегульованих та проблемних питань шляхом аналізу показників дії цього акта, такі питання будуть врегульовані шляхом внесення відповідних змін до регуляторного акта.</w:t>
      </w:r>
    </w:p>
    <w:p w:rsidR="00E61487" w:rsidRDefault="00E6148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E61487" w:rsidRDefault="00E61487" w:rsidP="00E61487">
      <w:pPr>
        <w:pStyle w:val="1"/>
        <w:ind w:right="320" w:firstLine="0"/>
        <w:jc w:val="right"/>
        <w:rPr>
          <w:lang w:val="ru-RU"/>
        </w:rPr>
      </w:pPr>
      <w:r w:rsidRPr="00E61487">
        <w:rPr>
          <w:color w:val="000000"/>
          <w:lang w:val="ru-RU"/>
        </w:rPr>
        <w:t>Додаток 1</w:t>
      </w:r>
    </w:p>
    <w:p w:rsidR="00E61487" w:rsidRPr="00E61487" w:rsidRDefault="00E61487" w:rsidP="00E61487">
      <w:pPr>
        <w:pStyle w:val="1"/>
        <w:ind w:right="320" w:firstLine="0"/>
        <w:jc w:val="right"/>
        <w:rPr>
          <w:lang w:val="ru-RU"/>
        </w:rPr>
      </w:pPr>
      <w:r w:rsidRPr="00E61487">
        <w:rPr>
          <w:color w:val="000000"/>
          <w:lang w:val="ru-RU"/>
        </w:rPr>
        <w:t>до Аналізу впливу</w:t>
      </w:r>
      <w:r w:rsidRPr="00E61487">
        <w:rPr>
          <w:color w:val="000000"/>
          <w:lang w:val="ru-RU"/>
        </w:rPr>
        <w:br/>
        <w:t>регуляторного акта</w:t>
      </w:r>
    </w:p>
    <w:p w:rsidR="00E61487" w:rsidRPr="00E61487" w:rsidRDefault="00E61487" w:rsidP="00E61487">
      <w:pPr>
        <w:pStyle w:val="1"/>
        <w:ind w:firstLine="0"/>
        <w:jc w:val="center"/>
        <w:rPr>
          <w:lang w:val="ru-RU"/>
        </w:rPr>
      </w:pPr>
      <w:r w:rsidRPr="00E61487">
        <w:rPr>
          <w:b/>
          <w:bCs/>
          <w:color w:val="000000"/>
          <w:lang w:val="ru-RU"/>
        </w:rPr>
        <w:t>ВИТРАТИ</w:t>
      </w:r>
    </w:p>
    <w:p w:rsidR="00E61487" w:rsidRDefault="00E61487" w:rsidP="00E61487">
      <w:pPr>
        <w:pStyle w:val="a7"/>
        <w:ind w:left="480"/>
        <w:rPr>
          <w:b/>
          <w:bCs/>
          <w:color w:val="000000"/>
          <w:lang w:val="ru-RU"/>
        </w:rPr>
      </w:pPr>
      <w:r w:rsidRPr="00E61487">
        <w:rPr>
          <w:b/>
          <w:bCs/>
          <w:color w:val="000000"/>
          <w:lang w:val="ru-RU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E61487" w:rsidRPr="00E61487" w:rsidRDefault="00E61487" w:rsidP="00E61487">
      <w:pPr>
        <w:pStyle w:val="a7"/>
        <w:ind w:left="480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5818"/>
        <w:gridCol w:w="1181"/>
        <w:gridCol w:w="1022"/>
      </w:tblGrid>
      <w:tr w:rsidR="00E61487" w:rsidRPr="00E61487" w:rsidTr="00EC24D8">
        <w:trPr>
          <w:trHeight w:hRule="exact" w:val="98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487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Порядкови</w:t>
            </w:r>
            <w:r w:rsidR="00E61487" w:rsidRPr="00D400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й номер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487" w:rsidRPr="00D4005F" w:rsidRDefault="00E61487" w:rsidP="00D4005F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Витрати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487" w:rsidRPr="00D4005F" w:rsidRDefault="00E61487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За перший рік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487" w:rsidRPr="00D4005F" w:rsidRDefault="00E61487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За п’ять років</w:t>
            </w:r>
          </w:p>
        </w:tc>
      </w:tr>
      <w:tr w:rsidR="00E61487" w:rsidRPr="00E61487" w:rsidTr="00EC24D8">
        <w:trPr>
          <w:trHeight w:hRule="exact" w:val="129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487" w:rsidRPr="00E61487" w:rsidRDefault="00E61487" w:rsidP="00E61487">
            <w:pPr>
              <w:widowControl w:val="0"/>
              <w:tabs>
                <w:tab w:val="left" w:pos="2054"/>
                <w:tab w:val="left" w:pos="2981"/>
                <w:tab w:val="left" w:pos="4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на придбання основних фондів, обладнання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та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приладів,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сервісне</w:t>
            </w:r>
          </w:p>
          <w:p w:rsidR="00E61487" w:rsidRPr="00E61487" w:rsidRDefault="00E61487" w:rsidP="00E61487">
            <w:pPr>
              <w:widowControl w:val="0"/>
              <w:tabs>
                <w:tab w:val="left" w:pos="3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обслуговування,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навчання/підвищення</w:t>
            </w:r>
          </w:p>
          <w:p w:rsidR="00E61487" w:rsidRPr="00E61487" w:rsidRDefault="00E61487" w:rsidP="00E61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кваліфікації персоналу тощо, гривень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E61487" w:rsidRPr="00E61487" w:rsidTr="00EC24D8">
        <w:trPr>
          <w:trHeight w:hRule="exact" w:val="258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487" w:rsidRPr="00E61487" w:rsidRDefault="00E61487" w:rsidP="00E61487">
            <w:pPr>
              <w:widowControl w:val="0"/>
              <w:tabs>
                <w:tab w:val="left" w:pos="1550"/>
                <w:tab w:val="left" w:pos="2342"/>
                <w:tab w:val="left" w:pos="3581"/>
                <w:tab w:val="left" w:pos="48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Податки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та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збори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(зміна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розміру</w:t>
            </w:r>
          </w:p>
          <w:p w:rsidR="00E61487" w:rsidRPr="00E61487" w:rsidRDefault="00E61487" w:rsidP="00E61487">
            <w:pPr>
              <w:widowControl w:val="0"/>
              <w:tabs>
                <w:tab w:val="left" w:pos="1526"/>
                <w:tab w:val="left" w:pos="3662"/>
                <w:tab w:val="right" w:pos="57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податків/зборів, виникнення необхідності у сплаті податків/зборів), гривень (зазначена річна сума зменшення земельного податку за рахунок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застосування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норм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проекту</w:t>
            </w:r>
          </w:p>
          <w:p w:rsidR="00E61487" w:rsidRPr="00E61487" w:rsidRDefault="00E61487" w:rsidP="00E61487">
            <w:pPr>
              <w:widowControl w:val="0"/>
              <w:tabs>
                <w:tab w:val="left" w:pos="2213"/>
                <w:tab w:val="left" w:pos="3187"/>
                <w:tab w:val="left" w:pos="4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регуляторного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акта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для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розрахункової</w:t>
            </w:r>
          </w:p>
          <w:p w:rsidR="00E61487" w:rsidRPr="00E61487" w:rsidRDefault="00E61487" w:rsidP="00E61487">
            <w:pPr>
              <w:widowControl w:val="0"/>
              <w:tabs>
                <w:tab w:val="left" w:pos="1574"/>
                <w:tab w:val="left" w:pos="2981"/>
                <w:tab w:val="left" w:pos="4440"/>
                <w:tab w:val="left" w:pos="49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земельної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ділянки,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описаної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в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аналізі</w:t>
            </w:r>
          </w:p>
          <w:p w:rsidR="00E61487" w:rsidRPr="00E61487" w:rsidRDefault="00E61487" w:rsidP="00E61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регуляторного впливу)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E61487" w:rsidRPr="00E61487" w:rsidTr="00EC24D8">
        <w:trPr>
          <w:trHeight w:hRule="exact" w:val="97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487" w:rsidRPr="00E61487" w:rsidRDefault="00E61487" w:rsidP="00E61487">
            <w:pPr>
              <w:widowControl w:val="0"/>
              <w:tabs>
                <w:tab w:val="left" w:pos="1421"/>
                <w:tab w:val="left" w:pos="2894"/>
                <w:tab w:val="left" w:pos="3442"/>
                <w:tab w:val="left" w:pos="49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Витрати,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пов’язані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із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веденням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обліку,</w:t>
            </w:r>
          </w:p>
          <w:p w:rsidR="00E61487" w:rsidRPr="00E61487" w:rsidRDefault="00E61487" w:rsidP="00E61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підготовкою та поданням звітності державним органам, гривень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E61487" w:rsidRPr="00E61487" w:rsidTr="00EC24D8">
        <w:trPr>
          <w:trHeight w:hRule="exact" w:val="130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487" w:rsidRPr="00E61487" w:rsidRDefault="00E61487" w:rsidP="00E61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E61487" w:rsidRPr="00E61487" w:rsidTr="00EC24D8">
        <w:trPr>
          <w:trHeight w:hRule="exact" w:val="226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487" w:rsidRPr="00E61487" w:rsidRDefault="00E61487" w:rsidP="00E61487">
            <w:pPr>
              <w:widowControl w:val="0"/>
              <w:tabs>
                <w:tab w:val="left" w:pos="2251"/>
                <w:tab w:val="left" w:pos="4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на отримання адміністративних послуг (дозволів, ліцензій, сертифікатів, атестатів, погоджень,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висновків,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проведення</w:t>
            </w:r>
          </w:p>
          <w:p w:rsidR="00E61487" w:rsidRPr="00E61487" w:rsidRDefault="00E61487" w:rsidP="00E61487">
            <w:pPr>
              <w:widowControl w:val="0"/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незалежних/обов’язкових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експертиз,</w:t>
            </w:r>
          </w:p>
          <w:p w:rsidR="00E61487" w:rsidRPr="00E61487" w:rsidRDefault="00E61487" w:rsidP="00E61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E61487" w:rsidRPr="00E61487" w:rsidTr="00EC24D8">
        <w:trPr>
          <w:trHeight w:hRule="exact" w:val="65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487" w:rsidRPr="00E61487" w:rsidRDefault="00E61487" w:rsidP="00E61487">
            <w:pPr>
              <w:widowControl w:val="0"/>
              <w:tabs>
                <w:tab w:val="left" w:pos="1315"/>
                <w:tab w:val="left" w:pos="3298"/>
                <w:tab w:val="left" w:pos="4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на оборотні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активи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(матеріали,</w:t>
            </w:r>
          </w:p>
          <w:p w:rsidR="00E61487" w:rsidRPr="00E61487" w:rsidRDefault="00E61487" w:rsidP="00E61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канцелярські товари тощо), гривень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E61487" w:rsidRPr="00E61487" w:rsidTr="00EC24D8">
        <w:trPr>
          <w:trHeight w:hRule="exact" w:val="6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487" w:rsidRPr="00E61487" w:rsidRDefault="00E61487" w:rsidP="00E61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E61487" w:rsidRPr="00E61487" w:rsidTr="00EC24D8">
        <w:trPr>
          <w:trHeight w:hRule="exact" w:val="129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487" w:rsidRPr="00E61487" w:rsidRDefault="00E61487" w:rsidP="00E61487">
            <w:pPr>
              <w:widowControl w:val="0"/>
              <w:tabs>
                <w:tab w:val="left" w:pos="936"/>
                <w:tab w:val="left" w:pos="2232"/>
                <w:tab w:val="left" w:pos="3682"/>
                <w:tab w:val="left" w:pos="55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Інше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(Оплата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розробки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документації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із</w:t>
            </w:r>
          </w:p>
          <w:p w:rsidR="00E61487" w:rsidRPr="00E61487" w:rsidRDefault="00E61487" w:rsidP="00E61487">
            <w:pPr>
              <w:widowControl w:val="0"/>
              <w:tabs>
                <w:tab w:val="left" w:pos="28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землеустрою щодо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формування земельної</w:t>
            </w:r>
          </w:p>
          <w:p w:rsidR="00E61487" w:rsidRPr="00E61487" w:rsidRDefault="00E61487" w:rsidP="00E61487">
            <w:pPr>
              <w:widowControl w:val="0"/>
              <w:tabs>
                <w:tab w:val="left" w:pos="1291"/>
                <w:tab w:val="left" w:pos="2064"/>
                <w:tab w:val="left" w:pos="3062"/>
                <w:tab w:val="left" w:pos="4099"/>
                <w:tab w:val="left" w:pos="4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ділянки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або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щодо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зміни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її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цільового</w:t>
            </w:r>
          </w:p>
          <w:p w:rsidR="00E61487" w:rsidRPr="00E61487" w:rsidRDefault="00E61487" w:rsidP="00E61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призначення), гривень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E61487" w:rsidRPr="00E61487" w:rsidTr="00EC24D8">
        <w:trPr>
          <w:trHeight w:hRule="exact" w:val="97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РАЗОМ (сума рядків: 1 + 2 + 3 + 4 + 5 + 6 + 7 + 8), гривень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E61487" w:rsidRPr="00E61487" w:rsidTr="00E61487">
        <w:trPr>
          <w:trHeight w:hRule="exact" w:val="100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487" w:rsidRPr="00E61487" w:rsidRDefault="00E61487" w:rsidP="00E61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Кількість суб’єктів господарювання великого та середнього підприємництва, на яких буде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поширено регулювання, одиниць</w:t>
            </w:r>
          </w:p>
          <w:p w:rsidR="00E61487" w:rsidRPr="00E61487" w:rsidRDefault="00E61487" w:rsidP="00E61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87" w:rsidRPr="00E61487" w:rsidRDefault="00E61487" w:rsidP="00E61487">
            <w:pPr>
              <w:widowControl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6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  <w:tr w:rsidR="00E61487" w:rsidRPr="00E61487" w:rsidTr="00E61487">
        <w:trPr>
          <w:trHeight w:hRule="exact" w:val="100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87" w:rsidRDefault="00E61487" w:rsidP="00E61487">
            <w:pPr>
              <w:pStyle w:val="a9"/>
              <w:ind w:firstLine="720"/>
            </w:pPr>
            <w:r>
              <w:rPr>
                <w:color w:val="000000"/>
              </w:rPr>
              <w:t>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487" w:rsidRPr="00E61487" w:rsidRDefault="00E61487" w:rsidP="00E61487">
            <w:pPr>
              <w:pStyle w:val="a9"/>
              <w:rPr>
                <w:lang w:val="ru-RU"/>
              </w:rPr>
            </w:pPr>
            <w:r w:rsidRPr="00E61487">
              <w:rPr>
                <w:color w:val="000000"/>
                <w:lang w:val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487" w:rsidRDefault="00E61487" w:rsidP="00E61487">
            <w:pPr>
              <w:pStyle w:val="a9"/>
              <w:ind w:firstLine="720"/>
            </w:pPr>
            <w:r>
              <w:rPr>
                <w:color w:val="00000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87" w:rsidRDefault="00E61487" w:rsidP="00E61487">
            <w:pPr>
              <w:pStyle w:val="a9"/>
              <w:ind w:firstLine="720"/>
            </w:pPr>
            <w:r>
              <w:rPr>
                <w:color w:val="000000"/>
              </w:rPr>
              <w:t>-</w:t>
            </w:r>
          </w:p>
        </w:tc>
      </w:tr>
    </w:tbl>
    <w:p w:rsidR="00E61487" w:rsidRDefault="00E61487" w:rsidP="00E614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</w:pPr>
    </w:p>
    <w:p w:rsidR="00E61487" w:rsidRDefault="00E61487" w:rsidP="00E614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</w:pPr>
      <w:r w:rsidRPr="00E614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  <w:t>Розрахунок відповідних витрат на одного суб’єкта господарювання</w:t>
      </w:r>
    </w:p>
    <w:p w:rsidR="00D4005F" w:rsidRDefault="00D4005F" w:rsidP="00E614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1416"/>
        <w:gridCol w:w="1704"/>
        <w:gridCol w:w="1565"/>
      </w:tblGrid>
      <w:tr w:rsidR="00D4005F" w:rsidRPr="00D4005F" w:rsidTr="00F51514">
        <w:trPr>
          <w:trHeight w:hRule="exact" w:val="65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Вид витрат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 перший рік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Періодичні (за рік)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за п’ять років</w:t>
            </w:r>
          </w:p>
        </w:tc>
      </w:tr>
      <w:tr w:rsidR="00D4005F" w:rsidRPr="00D4005F" w:rsidTr="00F51514">
        <w:trPr>
          <w:trHeight w:hRule="exact" w:val="173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tabs>
                <w:tab w:val="right" w:pos="45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на придбання основних фондів, обладнання та приладів, сервісне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обслуговування,</w:t>
            </w:r>
          </w:p>
          <w:p w:rsidR="00D4005F" w:rsidRPr="00D4005F" w:rsidRDefault="00D4005F" w:rsidP="00D4005F">
            <w:pPr>
              <w:widowControl w:val="0"/>
              <w:tabs>
                <w:tab w:val="right" w:pos="45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навчання/підвищення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кваліфікації</w:t>
            </w:r>
          </w:p>
          <w:p w:rsidR="00D4005F" w:rsidRPr="00D4005F" w:rsidRDefault="00D4005F" w:rsidP="00D400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персоналу тощо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</w:tbl>
    <w:p w:rsidR="00D4005F" w:rsidRDefault="00D4005F" w:rsidP="00E614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3259"/>
        <w:gridCol w:w="1426"/>
      </w:tblGrid>
      <w:tr w:rsidR="00D4005F" w:rsidRPr="00D4005F" w:rsidTr="00F51514">
        <w:trPr>
          <w:trHeight w:hRule="exact" w:val="1301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Вид витрат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tabs>
                <w:tab w:val="left" w:pos="1546"/>
                <w:tab w:val="left" w:pos="2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на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сплату</w:t>
            </w:r>
          </w:p>
          <w:p w:rsidR="00D4005F" w:rsidRPr="00D4005F" w:rsidRDefault="00D4005F" w:rsidP="00D4005F">
            <w:pPr>
              <w:widowControl w:val="0"/>
              <w:tabs>
                <w:tab w:val="left" w:pos="1550"/>
                <w:tab w:val="left" w:pos="23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податків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та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зборів</w:t>
            </w:r>
          </w:p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(змінених/нововведених) (за рік)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за п’ять років</w:t>
            </w:r>
          </w:p>
        </w:tc>
      </w:tr>
      <w:tr w:rsidR="00D4005F" w:rsidRPr="00D4005F" w:rsidTr="00F51514">
        <w:trPr>
          <w:trHeight w:hRule="exact" w:val="984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tabs>
                <w:tab w:val="left" w:pos="3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Податки та збори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(зміна розміру податків/зборів, 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виникнення</w:t>
            </w:r>
          </w:p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необхідності у сплаті податків/зборів)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</w:tbl>
    <w:p w:rsidR="00D4005F" w:rsidRDefault="00D4005F" w:rsidP="00E614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982"/>
        <w:gridCol w:w="1277"/>
        <w:gridCol w:w="1594"/>
      </w:tblGrid>
      <w:tr w:rsidR="00D4005F" w:rsidRPr="00D4005F" w:rsidTr="00F51514">
        <w:trPr>
          <w:trHeight w:hRule="exact" w:val="194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Вид витрат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на оплату штрафних санкцій за рік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Разом за рік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за п’ять років</w:t>
            </w:r>
          </w:p>
        </w:tc>
      </w:tr>
      <w:tr w:rsidR="00D4005F" w:rsidRPr="00D4005F" w:rsidTr="00F51514">
        <w:trPr>
          <w:trHeight w:hRule="exact" w:val="22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tabs>
                <w:tab w:val="left" w:pos="14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Витрати, пов’язані із веденням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обліку,</w:t>
            </w:r>
          </w:p>
          <w:p w:rsidR="00D4005F" w:rsidRPr="00D4005F" w:rsidRDefault="00D4005F" w:rsidP="00D4005F">
            <w:pPr>
              <w:widowControl w:val="0"/>
              <w:tabs>
                <w:tab w:val="left" w:pos="1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підготовкою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та</w:t>
            </w:r>
          </w:p>
          <w:p w:rsidR="00D4005F" w:rsidRPr="00D4005F" w:rsidRDefault="00D4005F" w:rsidP="00D4005F">
            <w:pPr>
              <w:widowControl w:val="0"/>
              <w:tabs>
                <w:tab w:val="left" w:pos="17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поданням звітності державним органам (витрати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часу</w:t>
            </w:r>
          </w:p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персоналу)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</w:tbl>
    <w:p w:rsidR="00D4005F" w:rsidRDefault="00D4005F" w:rsidP="00E614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</w:pPr>
    </w:p>
    <w:p w:rsidR="00D4005F" w:rsidRPr="00E61487" w:rsidRDefault="00D4005F" w:rsidP="00D4005F">
      <w:pPr>
        <w:widowControl w:val="0"/>
        <w:tabs>
          <w:tab w:val="left" w:pos="8145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982"/>
        <w:gridCol w:w="1277"/>
        <w:gridCol w:w="1594"/>
      </w:tblGrid>
      <w:tr w:rsidR="00D4005F" w:rsidRPr="00D4005F" w:rsidTr="00D4005F">
        <w:trPr>
          <w:trHeight w:hRule="exact" w:val="160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Вид витрат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на оплату штрафних санкцій за рік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Разом за рік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за п’ять років</w:t>
            </w:r>
          </w:p>
        </w:tc>
      </w:tr>
      <w:tr w:rsidR="00D4005F" w:rsidRPr="00D4005F" w:rsidTr="00D4005F">
        <w:trPr>
          <w:trHeight w:hRule="exact" w:val="262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5F" w:rsidRDefault="00D4005F" w:rsidP="00D4005F">
            <w:pPr>
              <w:pStyle w:val="a9"/>
            </w:pPr>
            <w:r w:rsidRPr="00D4005F">
              <w:rPr>
                <w:color w:val="000000"/>
                <w:lang w:val="ru-RU"/>
              </w:rPr>
              <w:t xml:space="preserve">Витрати, пов’язані з адмініструванням заходів державного нагляду (контролю) </w:t>
            </w:r>
            <w:r>
              <w:rPr>
                <w:color w:val="000000"/>
              </w:rPr>
              <w:t>(перевірок, штрафних санкцій, виконання рішень/ приписів тощо)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Default="00D4005F" w:rsidP="00D4005F">
            <w:pPr>
              <w:pStyle w:val="a9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Default="00D4005F" w:rsidP="00D4005F">
            <w:pPr>
              <w:pStyle w:val="a9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Default="00D4005F" w:rsidP="00D4005F">
            <w:pPr>
              <w:pStyle w:val="a9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Default="00D4005F" w:rsidP="00D4005F">
            <w:pPr>
              <w:pStyle w:val="a9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D4005F" w:rsidRDefault="00D4005F" w:rsidP="00D4005F">
      <w:pPr>
        <w:widowControl w:val="0"/>
        <w:tabs>
          <w:tab w:val="left" w:pos="8145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005F" w:rsidRPr="00D4005F" w:rsidRDefault="00D4005F" w:rsidP="00D4005F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982"/>
        <w:gridCol w:w="1277"/>
        <w:gridCol w:w="1594"/>
      </w:tblGrid>
      <w:tr w:rsidR="00D4005F" w:rsidRPr="00D4005F" w:rsidTr="00D4005F">
        <w:trPr>
          <w:trHeight w:hRule="exact" w:val="291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Вид витрат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Разом за рік (стартов ий)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за п’ять років</w:t>
            </w:r>
          </w:p>
        </w:tc>
      </w:tr>
      <w:tr w:rsidR="00D4005F" w:rsidRPr="00D4005F" w:rsidTr="00D4005F">
        <w:trPr>
          <w:trHeight w:hRule="exact" w:val="653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tabs>
                <w:tab w:val="left" w:pos="1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на</w:t>
            </w:r>
          </w:p>
          <w:p w:rsidR="00D4005F" w:rsidRPr="00D4005F" w:rsidRDefault="00D4005F" w:rsidP="00D4005F">
            <w:pPr>
              <w:widowControl w:val="0"/>
              <w:tabs>
                <w:tab w:val="left" w:pos="21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отримання адміністративних послуг (дозволів, ліцензій, сертифікатів, атестатів, погоджень, висновків, проведення незалежних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/</w:t>
            </w:r>
          </w:p>
          <w:p w:rsidR="00D4005F" w:rsidRPr="00D4005F" w:rsidRDefault="00D4005F" w:rsidP="00D4005F">
            <w:pPr>
              <w:widowControl w:val="0"/>
              <w:tabs>
                <w:tab w:val="left" w:pos="13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обов’язкових експертиз, сертифікації, атестації тощо) та інших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ab/>
              <w:t>послуг</w:t>
            </w:r>
          </w:p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(проведення наукових, інших експертиз, страхування тощо)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</w:tbl>
    <w:p w:rsidR="00E61487" w:rsidRDefault="00E61487" w:rsidP="00D4005F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2410"/>
        <w:gridCol w:w="1982"/>
        <w:gridCol w:w="2021"/>
      </w:tblGrid>
      <w:tr w:rsidR="00D4005F" w:rsidRPr="00D4005F" w:rsidTr="00D4005F">
        <w:trPr>
          <w:trHeight w:hRule="exact" w:val="619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Вид витрат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 рік (стартовий)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Періодичні (за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наступний рік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п’ять років</w:t>
            </w:r>
          </w:p>
        </w:tc>
      </w:tr>
      <w:tr w:rsidR="00D4005F" w:rsidRPr="00D4005F" w:rsidTr="00D4005F">
        <w:trPr>
          <w:trHeight w:hRule="exact" w:val="128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pStyle w:val="a9"/>
              <w:tabs>
                <w:tab w:val="left" w:pos="1416"/>
              </w:tabs>
              <w:rPr>
                <w:lang w:val="ru-RU"/>
              </w:rPr>
            </w:pPr>
            <w:r w:rsidRPr="00D4005F">
              <w:rPr>
                <w:color w:val="000000"/>
                <w:lang w:val="ru-RU"/>
              </w:rPr>
              <w:t>Витрати на оборотні активи</w:t>
            </w:r>
            <w:r w:rsidRPr="00D4005F">
              <w:rPr>
                <w:color w:val="000000"/>
                <w:lang w:val="ru-RU"/>
              </w:rPr>
              <w:tab/>
              <w:t>(матеріали,</w:t>
            </w:r>
          </w:p>
          <w:p w:rsidR="00D4005F" w:rsidRDefault="00D4005F" w:rsidP="00D4005F">
            <w:pPr>
              <w:pStyle w:val="a9"/>
              <w:tabs>
                <w:tab w:val="left" w:pos="1934"/>
              </w:tabs>
            </w:pPr>
            <w:r>
              <w:rPr>
                <w:color w:val="000000"/>
              </w:rPr>
              <w:t>канцелярські</w:t>
            </w:r>
            <w:r>
              <w:rPr>
                <w:color w:val="000000"/>
              </w:rPr>
              <w:tab/>
              <w:t>товари</w:t>
            </w:r>
          </w:p>
          <w:p w:rsidR="00D4005F" w:rsidRDefault="00D4005F" w:rsidP="00D4005F">
            <w:pPr>
              <w:pStyle w:val="a9"/>
            </w:pPr>
            <w:r>
              <w:rPr>
                <w:color w:val="000000"/>
              </w:rPr>
              <w:t>тощо)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Default="00D4005F" w:rsidP="00D4005F">
            <w:pPr>
              <w:pStyle w:val="a9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Default="00D4005F" w:rsidP="00D4005F">
            <w:pPr>
              <w:pStyle w:val="a9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Default="00D4005F" w:rsidP="00D4005F">
            <w:pPr>
              <w:pStyle w:val="a9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D4005F" w:rsidRDefault="00D4005F" w:rsidP="00D4005F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2693"/>
        <w:gridCol w:w="2587"/>
      </w:tblGrid>
      <w:tr w:rsidR="00D4005F" w:rsidRPr="00D4005F" w:rsidTr="00F51514">
        <w:trPr>
          <w:trHeight w:hRule="exact" w:val="1301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Вид витрат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 за п’ять років</w:t>
            </w:r>
          </w:p>
        </w:tc>
      </w:tr>
      <w:tr w:rsidR="00D4005F" w:rsidRPr="00D4005F" w:rsidTr="00F51514">
        <w:trPr>
          <w:trHeight w:hRule="exact" w:val="667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Витрати, пов’язані із наймом додаткового персоналу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</w:p>
        </w:tc>
      </w:tr>
    </w:tbl>
    <w:p w:rsidR="00D4005F" w:rsidRDefault="00D4005F" w:rsidP="00D4005F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05F" w:rsidRDefault="00D4005F" w:rsidP="00D4005F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05F" w:rsidRDefault="00D4005F" w:rsidP="00D4005F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05F" w:rsidRDefault="00D4005F" w:rsidP="00D4005F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4005F" w:rsidRPr="00D4005F" w:rsidRDefault="00D4005F" w:rsidP="00D4005F">
      <w:pPr>
        <w:widowControl w:val="0"/>
        <w:spacing w:after="960" w:line="240" w:lineRule="auto"/>
        <w:ind w:left="70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400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Додаток 2 до Аналізу впливу регуляторного акта</w:t>
      </w:r>
    </w:p>
    <w:p w:rsidR="00D4005F" w:rsidRPr="00D4005F" w:rsidRDefault="00D4005F" w:rsidP="00D40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40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БЮДЖЕТНІ ВИТРАТИ</w:t>
      </w:r>
      <w:r w:rsidRPr="00D40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  <w:t>на адміністрування регулювання для суб’єктів великого і середнього</w:t>
      </w:r>
      <w:r w:rsidRPr="00D40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  <w:t>підприємництва</w:t>
      </w:r>
    </w:p>
    <w:p w:rsidR="00D4005F" w:rsidRPr="00D4005F" w:rsidRDefault="00D4005F" w:rsidP="00D4005F">
      <w:pPr>
        <w:widowControl w:val="0"/>
        <w:spacing w:after="26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400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D4005F" w:rsidRPr="00D4005F" w:rsidRDefault="00D4005F" w:rsidP="00D4005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400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Державний орган, для якого здійснюється розрахунок адміністрування регулювання:</w:t>
      </w:r>
    </w:p>
    <w:p w:rsidR="00D4005F" w:rsidRPr="00D4005F" w:rsidRDefault="00D4005F" w:rsidP="00D4005F">
      <w:pPr>
        <w:widowControl w:val="0"/>
        <w:spacing w:after="0" w:line="214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>Закарпатська обласна</w:t>
      </w:r>
      <w:r w:rsidRPr="00D40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uk-UA" w:bidi="uk-UA"/>
        </w:rPr>
        <w:t xml:space="preserve"> рада</w:t>
      </w:r>
    </w:p>
    <w:p w:rsidR="00D4005F" w:rsidRDefault="00D4005F" w:rsidP="00D4005F">
      <w:pPr>
        <w:widowControl w:val="0"/>
        <w:spacing w:after="220" w:line="214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</w:pPr>
      <w:r w:rsidRPr="00D4005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  <w:t>(назва державного органу)</w:t>
      </w:r>
    </w:p>
    <w:p w:rsidR="00D4005F" w:rsidRPr="00D4005F" w:rsidRDefault="00D4005F" w:rsidP="00D4005F">
      <w:pPr>
        <w:widowControl w:val="0"/>
        <w:spacing w:after="220" w:line="214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133"/>
        <w:gridCol w:w="1560"/>
        <w:gridCol w:w="1848"/>
        <w:gridCol w:w="1560"/>
        <w:gridCol w:w="1147"/>
      </w:tblGrid>
      <w:tr w:rsidR="00D4005F" w:rsidRPr="00ED5A7C" w:rsidTr="00F51514">
        <w:trPr>
          <w:trHeight w:hRule="exact" w:val="249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Планові витрати часу на процеду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Витрати на адмініст ру-вання регулюв ан-ня* (за рік), гривень</w:t>
            </w:r>
          </w:p>
        </w:tc>
      </w:tr>
      <w:tr w:rsidR="00D4005F" w:rsidRPr="00D4005F" w:rsidTr="00F51514">
        <w:trPr>
          <w:trHeight w:hRule="exact" w:val="13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</w:tr>
      <w:tr w:rsidR="00D4005F" w:rsidRPr="00D4005F" w:rsidTr="00F51514">
        <w:trPr>
          <w:trHeight w:hRule="exact" w:val="249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2. Поточний контроль за суб’єктом господарювання, що перебуває у сфері регулювання, у тому числі: камеральні виїзні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</w:tr>
      <w:tr w:rsidR="00D4005F" w:rsidRPr="00D4005F" w:rsidTr="00F51514">
        <w:trPr>
          <w:trHeight w:hRule="exact" w:val="186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</w:tr>
      <w:tr w:rsidR="00D4005F" w:rsidRPr="00D4005F" w:rsidTr="00F51514">
        <w:trPr>
          <w:trHeight w:hRule="exact" w:val="1344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</w:tr>
      <w:tr w:rsidR="00D4005F" w:rsidTr="00F51514">
        <w:trPr>
          <w:trHeight w:hRule="exact" w:val="133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F51514">
            <w:pPr>
              <w:pStyle w:val="a9"/>
              <w:spacing w:line="252" w:lineRule="auto"/>
              <w:rPr>
                <w:sz w:val="22"/>
                <w:szCs w:val="22"/>
                <w:lang w:val="ru-RU"/>
              </w:rPr>
            </w:pPr>
            <w:r w:rsidRPr="00D4005F">
              <w:rPr>
                <w:color w:val="000000"/>
                <w:sz w:val="22"/>
                <w:szCs w:val="22"/>
                <w:lang w:val="ru-RU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4005F" w:rsidTr="00F51514">
        <w:trPr>
          <w:trHeight w:hRule="exact" w:val="106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F51514">
            <w:pPr>
              <w:pStyle w:val="a9"/>
              <w:spacing w:line="252" w:lineRule="auto"/>
              <w:rPr>
                <w:sz w:val="22"/>
                <w:szCs w:val="22"/>
                <w:lang w:val="ru-RU"/>
              </w:rPr>
            </w:pPr>
            <w:r w:rsidRPr="00D4005F">
              <w:rPr>
                <w:color w:val="000000"/>
                <w:sz w:val="22"/>
                <w:szCs w:val="22"/>
                <w:lang w:val="ru-RU"/>
              </w:rPr>
              <w:t>6. Підготовка звітності за результатами регулювання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4005F" w:rsidTr="00F51514">
        <w:trPr>
          <w:trHeight w:hRule="exact" w:val="107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Default="00D4005F" w:rsidP="00F51514">
            <w:pPr>
              <w:pStyle w:val="a9"/>
              <w:spacing w:line="252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Інші адміністративні процедури (уточнити):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4005F" w:rsidTr="00F51514">
        <w:trPr>
          <w:trHeight w:hRule="exact"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Default="00D4005F" w:rsidP="00F51514">
            <w:pPr>
              <w:pStyle w:val="a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Разом за 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4005F" w:rsidTr="00F51514">
        <w:trPr>
          <w:trHeight w:hRule="exact" w:val="55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5F" w:rsidRDefault="00D4005F" w:rsidP="00F51514">
            <w:pPr>
              <w:pStyle w:val="a9"/>
              <w:spacing w:line="252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Сумарно за п’ять років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Default="00D4005F" w:rsidP="00F51514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4005F" w:rsidRPr="00D4005F" w:rsidRDefault="00D4005F" w:rsidP="00D4005F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2342"/>
        <w:gridCol w:w="2347"/>
        <w:gridCol w:w="2352"/>
      </w:tblGrid>
      <w:tr w:rsidR="00D4005F" w:rsidRPr="00ED5A7C" w:rsidTr="00F51514">
        <w:trPr>
          <w:trHeight w:hRule="exact" w:val="1349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Порядковий номер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Назва державного органу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Витрати на адміністрування регулювання за рік, гривень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Сумарні витрати на адміністрування регулювання за п’ять років, гривень</w:t>
            </w:r>
          </w:p>
        </w:tc>
      </w:tr>
      <w:tr w:rsidR="00D4005F" w:rsidRPr="00D4005F" w:rsidTr="00F51514">
        <w:trPr>
          <w:trHeight w:hRule="exact" w:val="56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87B4A" w:rsidP="00D4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Закарпатська обласна рада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05F" w:rsidRPr="00D4005F" w:rsidRDefault="00D4005F" w:rsidP="00D4005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D4005F" w:rsidRPr="00D4005F" w:rsidTr="00F51514">
        <w:trPr>
          <w:trHeight w:hRule="exact" w:val="1872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05F" w:rsidRPr="00D4005F" w:rsidRDefault="00D4005F" w:rsidP="00D4005F">
            <w:pPr>
              <w:widowControl w:val="0"/>
              <w:tabs>
                <w:tab w:val="left" w:pos="1142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Сумарно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ab/>
              <w:t>бюджетні</w:t>
            </w:r>
          </w:p>
          <w:p w:rsidR="00D4005F" w:rsidRPr="00D4005F" w:rsidRDefault="00D4005F" w:rsidP="00D4005F">
            <w:pPr>
              <w:widowControl w:val="0"/>
              <w:tabs>
                <w:tab w:val="left" w:pos="1896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витрати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ab/>
              <w:t>на</w:t>
            </w:r>
          </w:p>
          <w:p w:rsidR="00D4005F" w:rsidRPr="00D4005F" w:rsidRDefault="00D4005F" w:rsidP="00D4005F">
            <w:pPr>
              <w:widowControl w:val="0"/>
              <w:tabs>
                <w:tab w:val="left" w:pos="1042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адміністрування регулювання суб’єктів великого і</w:t>
            </w:r>
            <w:r w:rsidRPr="00D4005F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ab/>
              <w:t>середнього</w:t>
            </w:r>
          </w:p>
          <w:p w:rsidR="00D4005F" w:rsidRPr="00D4005F" w:rsidRDefault="00D4005F" w:rsidP="00D4005F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підприємництва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05F" w:rsidRPr="00D4005F" w:rsidRDefault="00D4005F" w:rsidP="00D4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4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</w:tr>
    </w:tbl>
    <w:p w:rsidR="00D4005F" w:rsidRDefault="00D4005F" w:rsidP="00D400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005F" w:rsidRPr="00D4005F" w:rsidRDefault="00D4005F" w:rsidP="00D4005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400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Витрати на виконання вимог регуляторного акта для органів виконавчої влади чи органів місцевого самоврядування згідно з додатком 2 до аналізу впливу регуляторного акта відсутні.</w:t>
      </w:r>
    </w:p>
    <w:p w:rsidR="00D4005F" w:rsidRPr="00D4005F" w:rsidRDefault="00D4005F" w:rsidP="00D4005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400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Реалізація регуляторного акта не потребуватиме додаткових витрат.</w:t>
      </w:r>
    </w:p>
    <w:p w:rsidR="00D4005F" w:rsidRPr="00D4005F" w:rsidRDefault="00D4005F" w:rsidP="00D4005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400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Прийняття та оприлюднення регуляторного акта в установленому порядку забезпечить доведення його вимог до відома суб’єктів господарювання.</w:t>
      </w:r>
    </w:p>
    <w:p w:rsidR="00D4005F" w:rsidRPr="00D4005F" w:rsidRDefault="00D4005F" w:rsidP="00D4005F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400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Досягнення цілей не потребує додаткових організаційних заходів.</w:t>
      </w: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400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Прийняття регуляторного акта не призведе до неочікуваних результатів і не потребуватиме додаткових витрат з державного бюджету.</w:t>
      </w: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46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Default="00D4005F" w:rsidP="00D4005F">
      <w:pPr>
        <w:widowControl w:val="0"/>
        <w:spacing w:after="0" w:line="240" w:lineRule="auto"/>
        <w:ind w:left="4280" w:right="5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400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Додаток 3 до Аналізу впливу регуляторного акта </w:t>
      </w:r>
    </w:p>
    <w:p w:rsidR="00D4005F" w:rsidRDefault="00D4005F" w:rsidP="00D4005F">
      <w:pPr>
        <w:widowControl w:val="0"/>
        <w:spacing w:after="0" w:line="240" w:lineRule="auto"/>
        <w:ind w:left="4280" w:right="5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11337A" w:rsidRDefault="0011337A" w:rsidP="00D4005F">
      <w:pPr>
        <w:widowControl w:val="0"/>
        <w:spacing w:after="0" w:line="240" w:lineRule="auto"/>
        <w:ind w:right="5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3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ВИТРАТИ </w:t>
      </w:r>
    </w:p>
    <w:p w:rsidR="0011337A" w:rsidRPr="0011337A" w:rsidRDefault="0011337A" w:rsidP="00D4005F">
      <w:pPr>
        <w:widowControl w:val="0"/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 w:bidi="uk-UA"/>
        </w:rPr>
      </w:pPr>
      <w:r w:rsidRPr="0011337A">
        <w:rPr>
          <w:rFonts w:ascii="Times New Roman" w:hAnsi="Times New Roman" w:cs="Times New Roman"/>
          <w:b/>
          <w:sz w:val="28"/>
          <w:szCs w:val="28"/>
          <w:lang w:val="ru-RU"/>
        </w:rPr>
        <w:t>на одного суб’єкта господарювання малого підприємництва, які виникають внаслідок дії регуляторного акта</w:t>
      </w:r>
    </w:p>
    <w:p w:rsidR="0011337A" w:rsidRDefault="0011337A" w:rsidP="00D4005F">
      <w:pPr>
        <w:widowControl w:val="0"/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D4005F" w:rsidRPr="00D4005F" w:rsidRDefault="00D4005F" w:rsidP="00D4005F">
      <w:pPr>
        <w:widowControl w:val="0"/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40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ТЕСТ</w:t>
      </w:r>
    </w:p>
    <w:p w:rsidR="00D4005F" w:rsidRDefault="00D4005F" w:rsidP="00D40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D40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малого підприємництва (М-Тест)</w:t>
      </w:r>
    </w:p>
    <w:p w:rsidR="00D4005F" w:rsidRPr="00D4005F" w:rsidRDefault="00D4005F" w:rsidP="00D40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4005F" w:rsidRPr="0011337A" w:rsidRDefault="00D4005F" w:rsidP="0011337A">
      <w:pPr>
        <w:pStyle w:val="a3"/>
        <w:widowControl w:val="0"/>
        <w:numPr>
          <w:ilvl w:val="0"/>
          <w:numId w:val="4"/>
        </w:numPr>
        <w:spacing w:after="46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37A">
        <w:rPr>
          <w:rFonts w:ascii="Times New Roman" w:hAnsi="Times New Roman" w:cs="Times New Roman"/>
          <w:sz w:val="28"/>
          <w:szCs w:val="28"/>
          <w:lang w:val="uk-UA"/>
        </w:rPr>
        <w:t>Консультації з представниками мікро- та малого підприємництва щодо оцінки впливу регулювання. Консультації щодо визначення впливу запропонованого регулювання на суб’єктів малого підприємництва не проводилися, оскільки процедури, пов’язані із реалізацією контрольних функцій, для всіх типів суб’єктів господарювання є однаковими.</w:t>
      </w:r>
    </w:p>
    <w:p w:rsidR="0011337A" w:rsidRPr="0011337A" w:rsidRDefault="0011337A" w:rsidP="0011337A">
      <w:pPr>
        <w:pStyle w:val="1"/>
        <w:ind w:firstLine="960"/>
        <w:jc w:val="both"/>
        <w:rPr>
          <w:lang w:val="ru-RU"/>
        </w:rPr>
      </w:pPr>
      <w:r w:rsidRPr="0011337A">
        <w:rPr>
          <w:color w:val="000000"/>
          <w:lang w:val="ru-RU"/>
        </w:rPr>
        <w:t>2. Вимірювання впливу регулювання на суб’єктів малого підприємництва (мікро- та малі):</w:t>
      </w:r>
    </w:p>
    <w:p w:rsidR="0011337A" w:rsidRPr="0011337A" w:rsidRDefault="0011337A" w:rsidP="0011337A">
      <w:pPr>
        <w:pStyle w:val="1"/>
        <w:ind w:firstLine="720"/>
        <w:jc w:val="both"/>
        <w:rPr>
          <w:lang w:val="ru-RU"/>
        </w:rPr>
      </w:pPr>
      <w:r w:rsidRPr="0011337A">
        <w:rPr>
          <w:color w:val="000000"/>
          <w:lang w:val="ru-RU"/>
        </w:rPr>
        <w:t xml:space="preserve">кількість суб’єктів малого підприємництва, на яких поширюється регулювання: </w:t>
      </w:r>
      <w:r w:rsidR="00ED5A7C">
        <w:rPr>
          <w:color w:val="000000"/>
          <w:lang w:val="ru-RU"/>
        </w:rPr>
        <w:t>35</w:t>
      </w:r>
      <w:bookmarkStart w:id="0" w:name="_GoBack"/>
      <w:bookmarkEnd w:id="0"/>
      <w:r w:rsidRPr="0011337A">
        <w:rPr>
          <w:color w:val="000000"/>
          <w:lang w:val="ru-RU"/>
        </w:rPr>
        <w:t xml:space="preserve"> (одиниць);</w:t>
      </w:r>
    </w:p>
    <w:p w:rsidR="0011337A" w:rsidRPr="0011337A" w:rsidRDefault="0011337A" w:rsidP="0011337A">
      <w:pPr>
        <w:widowControl w:val="0"/>
        <w:spacing w:after="4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1337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питома вага суб’єктів малого підприємництва у загальній кількості суб’єктів господарювання, на яких проблема справляє вплив 100 (відсотків)</w:t>
      </w:r>
    </w:p>
    <w:p w:rsidR="00AE321D" w:rsidRPr="00AE321D" w:rsidRDefault="00AE321D" w:rsidP="00E1167B">
      <w:pPr>
        <w:pStyle w:val="a7"/>
        <w:tabs>
          <w:tab w:val="left" w:leader="underscore" w:pos="9293"/>
        </w:tabs>
        <w:jc w:val="center"/>
        <w:rPr>
          <w:lang w:val="ru-RU"/>
        </w:rPr>
      </w:pPr>
      <w:r w:rsidRPr="00AE321D">
        <w:rPr>
          <w:color w:val="000000"/>
          <w:lang w:val="ru-RU"/>
        </w:rPr>
        <w:t>3</w:t>
      </w:r>
      <w:r w:rsidRPr="00E1167B">
        <w:rPr>
          <w:color w:val="000000"/>
          <w:lang w:val="ru-RU"/>
        </w:rPr>
        <w:t>. Розрахунок витрат суб’єктів малого підприємництва на виконання вимог регулювання</w:t>
      </w:r>
    </w:p>
    <w:p w:rsidR="00D4005F" w:rsidRPr="00D4005F" w:rsidRDefault="00D4005F" w:rsidP="00D4005F">
      <w:pPr>
        <w:tabs>
          <w:tab w:val="left" w:pos="43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4005F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890"/>
        <w:gridCol w:w="3227"/>
      </w:tblGrid>
      <w:tr w:rsidR="00640D90" w:rsidTr="00F74A79">
        <w:tc>
          <w:tcPr>
            <w:tcW w:w="562" w:type="dxa"/>
          </w:tcPr>
          <w:p w:rsidR="00640D90" w:rsidRPr="00E1167B" w:rsidRDefault="00640D90" w:rsidP="00F74A7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16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890" w:type="dxa"/>
          </w:tcPr>
          <w:p w:rsidR="00640D90" w:rsidRPr="00E1167B" w:rsidRDefault="00640D90" w:rsidP="00F74A7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167B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  <w:tc>
          <w:tcPr>
            <w:tcW w:w="3227" w:type="dxa"/>
          </w:tcPr>
          <w:p w:rsidR="00640D90" w:rsidRPr="00E1167B" w:rsidRDefault="00640D90" w:rsidP="00F74A79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16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 рішення</w:t>
            </w:r>
          </w:p>
        </w:tc>
      </w:tr>
      <w:tr w:rsidR="00640D90" w:rsidTr="00F74A79">
        <w:tc>
          <w:tcPr>
            <w:tcW w:w="562" w:type="dxa"/>
          </w:tcPr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90" w:type="dxa"/>
          </w:tcPr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Витрати, пов’язані з інформуванням засобами телефонного зв’язку, грн. </w:t>
            </w:r>
          </w:p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Тарифи послуг мобільних операторів включають безкоштовні дзвінки в мережі мобільного оператора та достатню кількість хвилин безкоштовного зв’язку на номери телефонів інших операторів зв’язку, в тому числі стаціонарні. </w:t>
            </w:r>
          </w:p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Середня вартість 1 хв розмови оператора «Укртелеком» становить 0,2 грн. </w:t>
            </w:r>
          </w:p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 для здійснення інформування становить до 3 хвилин. </w:t>
            </w:r>
          </w:p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Середня кількість інформувань від одного суб’єкта господарювання на рік становить 12. </w:t>
            </w:r>
          </w:p>
          <w:p w:rsidR="00640D90" w:rsidRPr="00F73591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0,2х3х12=7,2 грн</w:t>
            </w:r>
          </w:p>
        </w:tc>
        <w:tc>
          <w:tcPr>
            <w:tcW w:w="3227" w:type="dxa"/>
          </w:tcPr>
          <w:p w:rsidR="00640D90" w:rsidRPr="00F73591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 грн</w:t>
            </w:r>
          </w:p>
        </w:tc>
      </w:tr>
      <w:tr w:rsidR="00640D90" w:rsidTr="00F74A79">
        <w:tc>
          <w:tcPr>
            <w:tcW w:w="562" w:type="dxa"/>
          </w:tcPr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90" w:type="dxa"/>
          </w:tcPr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Витрати на опрацювання та передачу письмового інформування факсом або електронною поштою, грн </w:t>
            </w:r>
          </w:p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Витрати на підготовку листа-інформування становлять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роб. год.</w:t>
            </w: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один лист). Середня кількість інформувань від одного суб’єкта господарювання на рік становить 12. </w:t>
            </w:r>
          </w:p>
          <w:p w:rsidR="00640D90" w:rsidRPr="00F73591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роб. год. х 12 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38,02 </w:t>
            </w: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=339,72 грн</w:t>
            </w:r>
          </w:p>
        </w:tc>
        <w:tc>
          <w:tcPr>
            <w:tcW w:w="3227" w:type="dxa"/>
          </w:tcPr>
          <w:p w:rsidR="00640D90" w:rsidRPr="00F73591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456,24</w:t>
            </w:r>
            <w:r w:rsidRPr="00F7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640D90" w:rsidTr="00F74A79">
        <w:tc>
          <w:tcPr>
            <w:tcW w:w="562" w:type="dxa"/>
          </w:tcPr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90" w:type="dxa"/>
          </w:tcPr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Сумарні витрати одного суб’єкта господарювання на виконання регулювання (вартість регулювання), грн </w:t>
            </w:r>
          </w:p>
          <w:p w:rsidR="00640D90" w:rsidRPr="00F73591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7,2+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456,24</w:t>
            </w: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463,44 </w:t>
            </w: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</w:p>
        </w:tc>
        <w:tc>
          <w:tcPr>
            <w:tcW w:w="3227" w:type="dxa"/>
          </w:tcPr>
          <w:p w:rsidR="00640D90" w:rsidRPr="00F73591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463,44 грн</w:t>
            </w:r>
          </w:p>
        </w:tc>
      </w:tr>
      <w:tr w:rsidR="00640D90" w:rsidTr="00F74A79">
        <w:tc>
          <w:tcPr>
            <w:tcW w:w="562" w:type="dxa"/>
          </w:tcPr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90" w:type="dxa"/>
          </w:tcPr>
          <w:p w:rsidR="00640D90" w:rsidRPr="00F73591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господарювання</w:t>
            </w:r>
          </w:p>
        </w:tc>
        <w:tc>
          <w:tcPr>
            <w:tcW w:w="3227" w:type="dxa"/>
          </w:tcPr>
          <w:p w:rsidR="00640D90" w:rsidRPr="00F73591" w:rsidRDefault="00D87B4A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640D90" w:rsidTr="00F74A79">
        <w:tc>
          <w:tcPr>
            <w:tcW w:w="562" w:type="dxa"/>
          </w:tcPr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90" w:type="dxa"/>
          </w:tcPr>
          <w:p w:rsidR="00640D90" w:rsidRPr="00F73591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Загальні витрати суб’єктів господарювання, грн</w:t>
            </w:r>
          </w:p>
        </w:tc>
        <w:tc>
          <w:tcPr>
            <w:tcW w:w="3227" w:type="dxa"/>
          </w:tcPr>
          <w:p w:rsidR="00640D90" w:rsidRPr="00F73591" w:rsidRDefault="00D87B4A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16 220,40</w:t>
            </w:r>
            <w:r w:rsidR="0064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640D90" w:rsidTr="00F74A79">
        <w:tc>
          <w:tcPr>
            <w:tcW w:w="562" w:type="dxa"/>
          </w:tcPr>
          <w:p w:rsidR="00640D90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90" w:type="dxa"/>
          </w:tcPr>
          <w:p w:rsidR="00640D90" w:rsidRPr="00F73591" w:rsidRDefault="00640D90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3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Загальні витрати суб’єктів господарювання за 5 років, грн</w:t>
            </w:r>
          </w:p>
        </w:tc>
        <w:tc>
          <w:tcPr>
            <w:tcW w:w="3227" w:type="dxa"/>
          </w:tcPr>
          <w:p w:rsidR="00640D90" w:rsidRPr="00F73591" w:rsidRDefault="00D87B4A" w:rsidP="00F74A79">
            <w:pPr>
              <w:tabs>
                <w:tab w:val="left" w:pos="435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81 102,00</w:t>
            </w:r>
            <w:r w:rsidR="00640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:rsidR="00D4005F" w:rsidRPr="00D4005F" w:rsidRDefault="00D4005F" w:rsidP="00D4005F">
      <w:pPr>
        <w:tabs>
          <w:tab w:val="left" w:pos="43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D4005F" w:rsidRPr="00D4005F" w:rsidSect="00ED5A7C">
      <w:foot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7C" w:rsidRDefault="00ED5A7C" w:rsidP="00ED5A7C">
      <w:pPr>
        <w:spacing w:after="0" w:line="240" w:lineRule="auto"/>
      </w:pPr>
      <w:r>
        <w:separator/>
      </w:r>
    </w:p>
  </w:endnote>
  <w:endnote w:type="continuationSeparator" w:id="0">
    <w:p w:rsidR="00ED5A7C" w:rsidRDefault="00ED5A7C" w:rsidP="00ED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05857"/>
      <w:docPartObj>
        <w:docPartGallery w:val="Page Numbers (Bottom of Page)"/>
        <w:docPartUnique/>
      </w:docPartObj>
    </w:sdtPr>
    <w:sdtContent>
      <w:p w:rsidR="00ED5A7C" w:rsidRDefault="00ED5A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5A7C">
          <w:rPr>
            <w:noProof/>
            <w:lang w:val="ru-RU"/>
          </w:rPr>
          <w:t>18</w:t>
        </w:r>
        <w:r>
          <w:fldChar w:fldCharType="end"/>
        </w:r>
      </w:p>
    </w:sdtContent>
  </w:sdt>
  <w:p w:rsidR="00ED5A7C" w:rsidRDefault="00ED5A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7C" w:rsidRDefault="00ED5A7C" w:rsidP="00ED5A7C">
      <w:pPr>
        <w:spacing w:after="0" w:line="240" w:lineRule="auto"/>
      </w:pPr>
      <w:r>
        <w:separator/>
      </w:r>
    </w:p>
  </w:footnote>
  <w:footnote w:type="continuationSeparator" w:id="0">
    <w:p w:rsidR="00ED5A7C" w:rsidRDefault="00ED5A7C" w:rsidP="00ED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896"/>
    <w:multiLevelType w:val="hybridMultilevel"/>
    <w:tmpl w:val="D814EEC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3A17245"/>
    <w:multiLevelType w:val="hybridMultilevel"/>
    <w:tmpl w:val="70BA2216"/>
    <w:lvl w:ilvl="0" w:tplc="48740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D0EBC"/>
    <w:multiLevelType w:val="hybridMultilevel"/>
    <w:tmpl w:val="1C4E2FC4"/>
    <w:lvl w:ilvl="0" w:tplc="21343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C4E89"/>
    <w:multiLevelType w:val="hybridMultilevel"/>
    <w:tmpl w:val="40D80004"/>
    <w:lvl w:ilvl="0" w:tplc="E58CDDB6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16C"/>
    <w:rsid w:val="000E6DEF"/>
    <w:rsid w:val="0011337A"/>
    <w:rsid w:val="0012516C"/>
    <w:rsid w:val="001D282E"/>
    <w:rsid w:val="001D7741"/>
    <w:rsid w:val="002036E3"/>
    <w:rsid w:val="002967CF"/>
    <w:rsid w:val="00362D12"/>
    <w:rsid w:val="003668FC"/>
    <w:rsid w:val="0037661B"/>
    <w:rsid w:val="004B715A"/>
    <w:rsid w:val="005B03B6"/>
    <w:rsid w:val="00640D90"/>
    <w:rsid w:val="006C5DAF"/>
    <w:rsid w:val="00726F31"/>
    <w:rsid w:val="00883F6B"/>
    <w:rsid w:val="009537C2"/>
    <w:rsid w:val="00A564E4"/>
    <w:rsid w:val="00A87083"/>
    <w:rsid w:val="00AC2560"/>
    <w:rsid w:val="00AE321D"/>
    <w:rsid w:val="00B33297"/>
    <w:rsid w:val="00BA636D"/>
    <w:rsid w:val="00BC175A"/>
    <w:rsid w:val="00D017C1"/>
    <w:rsid w:val="00D4005F"/>
    <w:rsid w:val="00D87B4A"/>
    <w:rsid w:val="00DE39EF"/>
    <w:rsid w:val="00E1167B"/>
    <w:rsid w:val="00E1248A"/>
    <w:rsid w:val="00E61487"/>
    <w:rsid w:val="00EC24D8"/>
    <w:rsid w:val="00ED5A7C"/>
    <w:rsid w:val="00EF104D"/>
    <w:rsid w:val="00F51514"/>
    <w:rsid w:val="00F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AE3C"/>
  <w15:docId w15:val="{AEA9F949-5703-414B-B4B5-EC6A31F4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97"/>
    <w:pPr>
      <w:ind w:left="720"/>
      <w:contextualSpacing/>
    </w:pPr>
  </w:style>
  <w:style w:type="table" w:styleId="a4">
    <w:name w:val="Table Grid"/>
    <w:basedOn w:val="a1"/>
    <w:uiPriority w:val="39"/>
    <w:rsid w:val="0037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E61487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E6148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E6148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E614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Другое_"/>
    <w:basedOn w:val="a0"/>
    <w:link w:val="a9"/>
    <w:rsid w:val="00E61487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E614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D5A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5A7C"/>
  </w:style>
  <w:style w:type="paragraph" w:styleId="ac">
    <w:name w:val="footer"/>
    <w:basedOn w:val="a"/>
    <w:link w:val="ad"/>
    <w:uiPriority w:val="99"/>
    <w:unhideWhenUsed/>
    <w:rsid w:val="00ED5A7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5A7C"/>
  </w:style>
  <w:style w:type="paragraph" w:styleId="ae">
    <w:name w:val="Balloon Text"/>
    <w:basedOn w:val="a"/>
    <w:link w:val="af"/>
    <w:uiPriority w:val="99"/>
    <w:semiHidden/>
    <w:unhideWhenUsed/>
    <w:rsid w:val="00ED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D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19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16</cp:revision>
  <cp:lastPrinted>2020-07-15T13:33:00Z</cp:lastPrinted>
  <dcterms:created xsi:type="dcterms:W3CDTF">2020-07-06T11:41:00Z</dcterms:created>
  <dcterms:modified xsi:type="dcterms:W3CDTF">2020-07-15T13:33:00Z</dcterms:modified>
</cp:coreProperties>
</file>