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793481" w:rsidRPr="00E52B01" w:rsidTr="00C15901">
        <w:tc>
          <w:tcPr>
            <w:tcW w:w="5954" w:type="dxa"/>
            <w:hideMark/>
          </w:tcPr>
          <w:p w:rsidR="00793481" w:rsidRPr="00793481" w:rsidRDefault="00793481" w:rsidP="00793481">
            <w:pPr>
              <w:autoSpaceDE w:val="0"/>
              <w:autoSpaceDN w:val="0"/>
              <w:ind w:right="747"/>
              <w:jc w:val="both"/>
              <w:rPr>
                <w:b/>
                <w:noProof/>
                <w:sz w:val="28"/>
                <w:szCs w:val="28"/>
                <w:lang w:val="ru-RU"/>
              </w:rPr>
            </w:pPr>
            <w:r w:rsidRPr="00793481">
              <w:rPr>
                <w:rFonts w:eastAsia="Calibri"/>
                <w:b/>
                <w:sz w:val="28"/>
                <w:szCs w:val="28"/>
              </w:rPr>
              <w:t xml:space="preserve">Ініціатор: </w:t>
            </w:r>
            <w:r w:rsidRPr="00793481">
              <w:rPr>
                <w:rFonts w:eastAsia="Calibri"/>
                <w:sz w:val="28"/>
                <w:szCs w:val="28"/>
              </w:rPr>
              <w:t>постійна комісія                                                обласної ради з питань</w:t>
            </w:r>
            <w:r w:rsidRPr="00793481">
              <w:rPr>
                <w:szCs w:val="28"/>
              </w:rPr>
              <w:t xml:space="preserve"> </w:t>
            </w:r>
            <w:r w:rsidRPr="00793481">
              <w:rPr>
                <w:sz w:val="28"/>
                <w:szCs w:val="28"/>
              </w:rPr>
              <w:t>охорони здоров’я, праці, зайнятості та соціального захисту населення, учасників АТО/ООС</w:t>
            </w:r>
            <w:r w:rsidRPr="0079348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93481" w:rsidRPr="00793481" w:rsidRDefault="00793481" w:rsidP="00793481">
            <w:pPr>
              <w:tabs>
                <w:tab w:val="left" w:pos="457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 w:rsidRPr="00793481">
              <w:rPr>
                <w:rFonts w:eastAsia="Calibri"/>
                <w:b/>
                <w:sz w:val="28"/>
                <w:szCs w:val="28"/>
              </w:rPr>
              <w:t xml:space="preserve">Автор: </w:t>
            </w:r>
            <w:r w:rsidRPr="00793481">
              <w:rPr>
                <w:rFonts w:eastAsia="Calibri"/>
                <w:sz w:val="28"/>
                <w:szCs w:val="28"/>
              </w:rPr>
              <w:t>постійна комісія                                                обласної ради з питань</w:t>
            </w:r>
            <w:r w:rsidRPr="00793481">
              <w:rPr>
                <w:szCs w:val="28"/>
              </w:rPr>
              <w:t xml:space="preserve"> </w:t>
            </w:r>
            <w:r w:rsidRPr="00793481">
              <w:rPr>
                <w:sz w:val="28"/>
                <w:szCs w:val="28"/>
              </w:rPr>
              <w:t>охорони здоров’я, праці, зайнятості та соціального захисту населення, учасників АТО/ООС</w:t>
            </w:r>
          </w:p>
        </w:tc>
        <w:tc>
          <w:tcPr>
            <w:tcW w:w="3686" w:type="dxa"/>
            <w:hideMark/>
          </w:tcPr>
          <w:p w:rsidR="00793481" w:rsidRPr="00E52B01" w:rsidRDefault="00793481" w:rsidP="00C15901">
            <w:pPr>
              <w:ind w:left="425"/>
              <w:contextualSpacing/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793481" w:rsidRPr="00E52B01" w:rsidRDefault="00793481" w:rsidP="00C15901">
            <w:pPr>
              <w:ind w:left="425"/>
              <w:contextualSpacing/>
              <w:jc w:val="righ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52B01">
              <w:rPr>
                <w:rFonts w:eastAsia="Calibri"/>
                <w:b/>
                <w:sz w:val="28"/>
                <w:szCs w:val="28"/>
              </w:rPr>
              <w:t>Проєкт</w:t>
            </w:r>
            <w:proofErr w:type="spellEnd"/>
          </w:p>
          <w:p w:rsidR="00793481" w:rsidRPr="00E52B01" w:rsidRDefault="00793481" w:rsidP="001630BC">
            <w:pPr>
              <w:ind w:left="425"/>
              <w:contextualSpacing/>
              <w:jc w:val="right"/>
              <w:rPr>
                <w:rFonts w:eastAsia="Calibri"/>
                <w:b/>
                <w:sz w:val="28"/>
                <w:szCs w:val="28"/>
              </w:rPr>
            </w:pPr>
            <w:r w:rsidRPr="00E52B01">
              <w:rPr>
                <w:rFonts w:eastAsia="Calibri"/>
                <w:b/>
                <w:sz w:val="28"/>
                <w:szCs w:val="28"/>
              </w:rPr>
              <w:t>№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630BC">
              <w:rPr>
                <w:rFonts w:eastAsia="Calibri"/>
                <w:b/>
                <w:sz w:val="28"/>
                <w:szCs w:val="28"/>
              </w:rPr>
              <w:t>4791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52B01">
              <w:rPr>
                <w:rFonts w:eastAsia="Calibri"/>
                <w:b/>
                <w:sz w:val="28"/>
                <w:szCs w:val="28"/>
              </w:rPr>
              <w:t xml:space="preserve">ПР/01-15 </w:t>
            </w:r>
          </w:p>
        </w:tc>
      </w:tr>
      <w:tr w:rsidR="00793481" w:rsidRPr="009A1781" w:rsidTr="00C15901">
        <w:tc>
          <w:tcPr>
            <w:tcW w:w="5954" w:type="dxa"/>
          </w:tcPr>
          <w:p w:rsidR="00793481" w:rsidRPr="009A1781" w:rsidRDefault="00793481" w:rsidP="00C15901">
            <w:pPr>
              <w:tabs>
                <w:tab w:val="right" w:pos="9178"/>
              </w:tabs>
              <w:ind w:left="426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93481" w:rsidRPr="009A1781" w:rsidRDefault="00793481" w:rsidP="00C15901">
            <w:pPr>
              <w:ind w:left="426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93481" w:rsidRPr="00E52B01" w:rsidRDefault="00793481" w:rsidP="00793481">
      <w:pPr>
        <w:suppressAutoHyphens/>
        <w:ind w:left="426"/>
        <w:contextualSpacing/>
        <w:mirrorIndents/>
        <w:jc w:val="center"/>
        <w:rPr>
          <w:b/>
          <w:sz w:val="28"/>
          <w:szCs w:val="28"/>
          <w:lang w:val="ru-RU" w:eastAsia="zh-CN"/>
        </w:rPr>
      </w:pPr>
      <w:r w:rsidRPr="00E30E27">
        <w:rPr>
          <w:b/>
          <w:noProof/>
          <w:sz w:val="28"/>
          <w:szCs w:val="28"/>
          <w:lang w:val="ru-RU"/>
        </w:rPr>
        <w:drawing>
          <wp:inline distT="0" distB="0" distL="0" distR="0" wp14:anchorId="5E4EA8F9" wp14:editId="0AB53AB1">
            <wp:extent cx="4286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 w:rsidRPr="00E30E27">
        <w:rPr>
          <w:b/>
          <w:sz w:val="28"/>
          <w:szCs w:val="28"/>
          <w:lang w:eastAsia="zh-CN"/>
        </w:rPr>
        <w:t>ЗАКАРПАТСЬКА ОБЛАСНА РАДА</w:t>
      </w: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lang w:eastAsia="zh-CN"/>
        </w:rPr>
      </w:pP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Третя</w:t>
      </w:r>
      <w:r w:rsidRPr="00E30E27">
        <w:rPr>
          <w:b/>
          <w:sz w:val="28"/>
          <w:szCs w:val="28"/>
        </w:rPr>
        <w:t xml:space="preserve"> </w:t>
      </w:r>
      <w:r w:rsidRPr="00E30E27">
        <w:rPr>
          <w:b/>
          <w:sz w:val="28"/>
          <w:szCs w:val="28"/>
          <w:lang w:eastAsia="zh-CN"/>
        </w:rPr>
        <w:t xml:space="preserve">сесія </w:t>
      </w:r>
      <w:r w:rsidRPr="00E30E27">
        <w:rPr>
          <w:b/>
          <w:sz w:val="28"/>
          <w:szCs w:val="28"/>
          <w:lang w:val="en-US" w:eastAsia="zh-CN"/>
        </w:rPr>
        <w:t>VI</w:t>
      </w:r>
      <w:r w:rsidRPr="00E30E27">
        <w:rPr>
          <w:b/>
          <w:sz w:val="28"/>
          <w:szCs w:val="28"/>
          <w:lang w:eastAsia="zh-CN"/>
        </w:rPr>
        <w:t>ІІ скликання</w:t>
      </w: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sz w:val="28"/>
          <w:szCs w:val="28"/>
        </w:rPr>
      </w:pP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</w:t>
      </w:r>
      <w:r w:rsidRPr="00E30E27">
        <w:rPr>
          <w:b/>
          <w:sz w:val="28"/>
          <w:szCs w:val="28"/>
          <w:lang w:eastAsia="zh-CN"/>
        </w:rPr>
        <w:t xml:space="preserve">Р І Ш Е Н </w:t>
      </w:r>
      <w:proofErr w:type="spellStart"/>
      <w:r w:rsidRPr="00E30E27">
        <w:rPr>
          <w:b/>
          <w:sz w:val="28"/>
          <w:szCs w:val="28"/>
          <w:lang w:eastAsia="zh-CN"/>
        </w:rPr>
        <w:t>Н</w:t>
      </w:r>
      <w:proofErr w:type="spellEnd"/>
      <w:r w:rsidRPr="00E30E27">
        <w:rPr>
          <w:b/>
          <w:sz w:val="28"/>
          <w:szCs w:val="28"/>
          <w:lang w:eastAsia="zh-CN"/>
        </w:rPr>
        <w:t xml:space="preserve"> Я</w:t>
      </w:r>
    </w:p>
    <w:p w:rsidR="00793481" w:rsidRPr="00E30E27" w:rsidRDefault="00793481" w:rsidP="00793481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793481" w:rsidRPr="00E30E27" w:rsidTr="00C15901">
        <w:tc>
          <w:tcPr>
            <w:tcW w:w="3173" w:type="dxa"/>
          </w:tcPr>
          <w:p w:rsidR="00793481" w:rsidRPr="00E30E27" w:rsidRDefault="00793481" w:rsidP="00C15901">
            <w:pPr>
              <w:suppressAutoHyphens/>
              <w:ind w:hanging="70"/>
              <w:contextualSpacing/>
              <w:mirrorIndent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</w:t>
            </w:r>
            <w:r w:rsidRPr="00E30E27">
              <w:rPr>
                <w:b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3165" w:type="dxa"/>
            <w:vAlign w:val="bottom"/>
          </w:tcPr>
          <w:p w:rsidR="00793481" w:rsidRPr="00E30E27" w:rsidRDefault="00793481" w:rsidP="00C15901">
            <w:pPr>
              <w:suppressAutoHyphens/>
              <w:contextualSpacing/>
              <w:mirrorIndents/>
              <w:rPr>
                <w:b/>
                <w:sz w:val="28"/>
                <w:szCs w:val="28"/>
                <w:lang w:val="ru-RU" w:eastAsia="zh-CN"/>
              </w:rPr>
            </w:pPr>
            <w:r>
              <w:rPr>
                <w:b/>
                <w:sz w:val="28"/>
                <w:szCs w:val="28"/>
                <w:lang w:val="ru-RU" w:eastAsia="zh-CN"/>
              </w:rPr>
              <w:t xml:space="preserve">           </w:t>
            </w:r>
            <w:r w:rsidRPr="00E30E27">
              <w:rPr>
                <w:b/>
                <w:sz w:val="28"/>
                <w:szCs w:val="28"/>
                <w:lang w:val="ru-RU" w:eastAsia="zh-CN"/>
              </w:rPr>
              <w:t>Ужгород</w:t>
            </w:r>
          </w:p>
        </w:tc>
        <w:tc>
          <w:tcPr>
            <w:tcW w:w="3160" w:type="dxa"/>
          </w:tcPr>
          <w:p w:rsidR="00793481" w:rsidRPr="00E30E27" w:rsidRDefault="00793481" w:rsidP="00C15901">
            <w:pPr>
              <w:suppressAutoHyphens/>
              <w:contextualSpacing/>
              <w:mirrorIndents/>
              <w:jc w:val="center"/>
              <w:rPr>
                <w:sz w:val="28"/>
                <w:szCs w:val="28"/>
                <w:lang w:eastAsia="zh-CN"/>
              </w:rPr>
            </w:pPr>
            <w:r w:rsidRPr="00E30E27">
              <w:rPr>
                <w:b/>
                <w:sz w:val="28"/>
                <w:szCs w:val="28"/>
                <w:lang w:eastAsia="zh-CN"/>
              </w:rPr>
              <w:t>№</w:t>
            </w:r>
          </w:p>
        </w:tc>
      </w:tr>
    </w:tbl>
    <w:p w:rsidR="00842711" w:rsidRDefault="00842711" w:rsidP="00842711">
      <w:pPr>
        <w:rPr>
          <w:b/>
          <w:bCs/>
          <w:sz w:val="28"/>
          <w:szCs w:val="28"/>
        </w:rPr>
      </w:pPr>
    </w:p>
    <w:p w:rsidR="00793481" w:rsidRPr="00933988" w:rsidRDefault="00793481" w:rsidP="00842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42711" w:rsidRPr="00933988" w:rsidTr="002D345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42711" w:rsidRPr="00933988" w:rsidRDefault="00842711" w:rsidP="00B379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793481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вернення депутатів Закарпатської обласної ради</w:t>
            </w:r>
            <w:r w:rsidR="00C3360E">
              <w:rPr>
                <w:b/>
                <w:sz w:val="28"/>
                <w:szCs w:val="28"/>
              </w:rPr>
              <w:t xml:space="preserve"> </w:t>
            </w:r>
            <w:r w:rsidR="00B37908">
              <w:rPr>
                <w:b/>
                <w:sz w:val="28"/>
                <w:szCs w:val="28"/>
              </w:rPr>
              <w:t>що</w:t>
            </w:r>
            <w:r w:rsidR="00C3360E">
              <w:rPr>
                <w:b/>
                <w:sz w:val="28"/>
                <w:szCs w:val="28"/>
              </w:rPr>
              <w:t xml:space="preserve">до </w:t>
            </w:r>
            <w:r w:rsidR="00B37908">
              <w:rPr>
                <w:b/>
                <w:sz w:val="28"/>
                <w:szCs w:val="28"/>
              </w:rPr>
              <w:t>фінансування спеціалізованої медичної допомоги</w:t>
            </w:r>
            <w:r w:rsidR="00C3360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42711" w:rsidRDefault="00842711" w:rsidP="007F7E9C">
      <w:pPr>
        <w:pStyle w:val="a3"/>
        <w:ind w:firstLine="0"/>
      </w:pPr>
    </w:p>
    <w:p w:rsidR="00842711" w:rsidRDefault="00842711" w:rsidP="00842711">
      <w:pPr>
        <w:pStyle w:val="a3"/>
        <w:ind w:firstLine="540"/>
      </w:pPr>
      <w:r>
        <w:t>Відповідно до статті 43 Закону України «Про місцеве самоврядування в Україні», з метою</w:t>
      </w:r>
      <w:r w:rsidR="00C3360E">
        <w:t xml:space="preserve"> фінансування спеціалізованої медичної допомоги</w:t>
      </w:r>
      <w:r>
        <w:t xml:space="preserve"> обласна рада </w:t>
      </w:r>
      <w:r w:rsidRPr="003D0C64">
        <w:rPr>
          <w:b/>
        </w:rPr>
        <w:t>в и р і ш и л а:</w:t>
      </w:r>
    </w:p>
    <w:p w:rsidR="00842711" w:rsidRDefault="00842711" w:rsidP="00842711">
      <w:pPr>
        <w:pStyle w:val="a3"/>
        <w:ind w:firstLine="540"/>
      </w:pPr>
    </w:p>
    <w:p w:rsidR="00842711" w:rsidRPr="00793481" w:rsidRDefault="00842711" w:rsidP="00793481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51086">
        <w:rPr>
          <w:sz w:val="28"/>
          <w:szCs w:val="28"/>
        </w:rPr>
        <w:t xml:space="preserve">1. </w:t>
      </w:r>
      <w:r w:rsidRPr="00167ECF">
        <w:rPr>
          <w:sz w:val="28"/>
          <w:szCs w:val="28"/>
        </w:rPr>
        <w:t>Звернутися до Кабінету Міністрів України</w:t>
      </w:r>
      <w:r>
        <w:rPr>
          <w:sz w:val="28"/>
          <w:szCs w:val="28"/>
        </w:rPr>
        <w:t xml:space="preserve"> </w:t>
      </w:r>
      <w:r w:rsidRPr="00167ECF">
        <w:rPr>
          <w:sz w:val="28"/>
          <w:szCs w:val="28"/>
        </w:rPr>
        <w:t xml:space="preserve">щодо </w:t>
      </w:r>
      <w:r w:rsidR="00C3360E">
        <w:rPr>
          <w:sz w:val="28"/>
          <w:szCs w:val="28"/>
        </w:rPr>
        <w:t xml:space="preserve">внесення змін до постанови  від 15 лютого 2021 року № 133 «Деякі питання реалізації програми державних гарантій медичного обслуговування населення у ІІ - </w:t>
      </w:r>
      <w:r w:rsidR="00C3360E" w:rsidRPr="00C3360E">
        <w:rPr>
          <w:sz w:val="28"/>
          <w:szCs w:val="28"/>
        </w:rPr>
        <w:t>І</w:t>
      </w:r>
      <w:r w:rsidR="00C3360E" w:rsidRPr="00C3360E">
        <w:rPr>
          <w:sz w:val="28"/>
          <w:szCs w:val="28"/>
          <w:lang w:val="en-US"/>
        </w:rPr>
        <w:t>V</w:t>
      </w:r>
      <w:r w:rsidR="00C3360E">
        <w:rPr>
          <w:sz w:val="28"/>
          <w:szCs w:val="28"/>
        </w:rPr>
        <w:t xml:space="preserve"> кварталі 2021 року</w:t>
      </w:r>
      <w:r w:rsidR="00C20CB4">
        <w:rPr>
          <w:sz w:val="28"/>
          <w:szCs w:val="28"/>
        </w:rPr>
        <w:t>»</w:t>
      </w:r>
      <w:r w:rsidR="00F13E38" w:rsidRPr="00F13E38">
        <w:rPr>
          <w:sz w:val="28"/>
          <w:szCs w:val="28"/>
          <w:lang w:eastAsia="uk-UA"/>
        </w:rPr>
        <w:t xml:space="preserve"> </w:t>
      </w:r>
      <w:r w:rsidR="00F13E38">
        <w:rPr>
          <w:sz w:val="28"/>
          <w:szCs w:val="28"/>
          <w:lang w:eastAsia="uk-UA"/>
        </w:rPr>
        <w:t xml:space="preserve">в частині зняття обмежень та надання </w:t>
      </w:r>
      <w:r w:rsidR="00F13E38" w:rsidRPr="00C254E2">
        <w:rPr>
          <w:sz w:val="28"/>
          <w:szCs w:val="28"/>
          <w:lang w:eastAsia="uk-UA"/>
        </w:rPr>
        <w:t xml:space="preserve">можливості </w:t>
      </w:r>
      <w:proofErr w:type="spellStart"/>
      <w:r w:rsidR="00F13E38">
        <w:rPr>
          <w:sz w:val="28"/>
          <w:szCs w:val="28"/>
          <w:lang w:eastAsia="uk-UA"/>
        </w:rPr>
        <w:t>фтизіопульмонологічним</w:t>
      </w:r>
      <w:proofErr w:type="spellEnd"/>
      <w:r w:rsidR="00F13E38">
        <w:rPr>
          <w:sz w:val="28"/>
          <w:szCs w:val="28"/>
          <w:lang w:eastAsia="uk-UA"/>
        </w:rPr>
        <w:t xml:space="preserve"> центрам, які у своєму складі мають </w:t>
      </w:r>
      <w:proofErr w:type="spellStart"/>
      <w:r w:rsidR="00F13E38">
        <w:rPr>
          <w:sz w:val="28"/>
          <w:szCs w:val="28"/>
          <w:lang w:eastAsia="uk-UA"/>
        </w:rPr>
        <w:t>пульмонологічні</w:t>
      </w:r>
      <w:proofErr w:type="spellEnd"/>
      <w:r w:rsidR="00F13E38">
        <w:rPr>
          <w:sz w:val="28"/>
          <w:szCs w:val="28"/>
          <w:lang w:eastAsia="uk-UA"/>
        </w:rPr>
        <w:t xml:space="preserve"> відділення, </w:t>
      </w:r>
      <w:r w:rsidR="00F13E38" w:rsidRPr="00C254E2">
        <w:rPr>
          <w:sz w:val="28"/>
          <w:szCs w:val="28"/>
          <w:lang w:eastAsia="uk-UA"/>
        </w:rPr>
        <w:t>уклада</w:t>
      </w:r>
      <w:r w:rsidR="00F13E38">
        <w:rPr>
          <w:sz w:val="28"/>
          <w:szCs w:val="28"/>
          <w:lang w:eastAsia="uk-UA"/>
        </w:rPr>
        <w:t>ти</w:t>
      </w:r>
      <w:r w:rsidR="00F13E38" w:rsidRPr="00C254E2">
        <w:rPr>
          <w:sz w:val="28"/>
          <w:szCs w:val="28"/>
          <w:lang w:eastAsia="uk-UA"/>
        </w:rPr>
        <w:t xml:space="preserve"> </w:t>
      </w:r>
      <w:r w:rsidR="00F13E38">
        <w:rPr>
          <w:sz w:val="28"/>
          <w:szCs w:val="28"/>
          <w:lang w:eastAsia="uk-UA"/>
        </w:rPr>
        <w:t xml:space="preserve">договір </w:t>
      </w:r>
      <w:r w:rsidR="00F13E38" w:rsidRPr="00C254E2">
        <w:rPr>
          <w:sz w:val="28"/>
          <w:szCs w:val="28"/>
          <w:lang w:eastAsia="uk-UA"/>
        </w:rPr>
        <w:t>із Н</w:t>
      </w:r>
      <w:r w:rsidR="00F13E38">
        <w:rPr>
          <w:sz w:val="28"/>
          <w:szCs w:val="28"/>
          <w:lang w:eastAsia="uk-UA"/>
        </w:rPr>
        <w:t xml:space="preserve">аціональною службою здоров'я України </w:t>
      </w:r>
      <w:r w:rsidR="00F13E38" w:rsidRPr="00C254E2">
        <w:rPr>
          <w:sz w:val="28"/>
          <w:szCs w:val="28"/>
          <w:lang w:eastAsia="uk-UA"/>
        </w:rPr>
        <w:t xml:space="preserve">на надання медичної допомоги одночасно за пакетом </w:t>
      </w:r>
      <w:r w:rsidR="00793481">
        <w:rPr>
          <w:sz w:val="28"/>
          <w:szCs w:val="28"/>
          <w:lang w:eastAsia="uk-UA"/>
        </w:rPr>
        <w:t>«</w:t>
      </w:r>
      <w:r w:rsidR="00F13E38" w:rsidRPr="00C254E2">
        <w:rPr>
          <w:sz w:val="28"/>
          <w:szCs w:val="28"/>
          <w:lang w:eastAsia="uk-UA"/>
        </w:rPr>
        <w:t>Лікування дорослих та дітей із туберкульозом у стаціонарних та амбулаторних умовах</w:t>
      </w:r>
      <w:r w:rsidR="00793481">
        <w:rPr>
          <w:sz w:val="28"/>
          <w:szCs w:val="28"/>
          <w:lang w:eastAsia="uk-UA"/>
        </w:rPr>
        <w:t>»</w:t>
      </w:r>
      <w:r w:rsidR="00F13E38" w:rsidRPr="00C254E2">
        <w:rPr>
          <w:sz w:val="28"/>
          <w:szCs w:val="28"/>
          <w:lang w:eastAsia="uk-UA"/>
        </w:rPr>
        <w:t xml:space="preserve"> </w:t>
      </w:r>
      <w:r w:rsidR="007F7E9C">
        <w:rPr>
          <w:sz w:val="28"/>
          <w:szCs w:val="28"/>
          <w:lang w:eastAsia="uk-UA"/>
        </w:rPr>
        <w:t>і</w:t>
      </w:r>
      <w:r w:rsidR="001630BC">
        <w:rPr>
          <w:sz w:val="28"/>
          <w:szCs w:val="28"/>
          <w:lang w:eastAsia="uk-UA"/>
        </w:rPr>
        <w:t xml:space="preserve">  </w:t>
      </w:r>
      <w:r w:rsidR="00F13E38" w:rsidRPr="00C254E2">
        <w:rPr>
          <w:sz w:val="28"/>
          <w:szCs w:val="28"/>
          <w:lang w:eastAsia="uk-UA"/>
        </w:rPr>
        <w:t xml:space="preserve"> </w:t>
      </w:r>
      <w:r w:rsidR="00793481">
        <w:rPr>
          <w:sz w:val="28"/>
          <w:szCs w:val="28"/>
          <w:lang w:eastAsia="uk-UA"/>
        </w:rPr>
        <w:t>«</w:t>
      </w:r>
      <w:r w:rsidR="00F13E38" w:rsidRPr="00C254E2">
        <w:rPr>
          <w:sz w:val="28"/>
          <w:szCs w:val="28"/>
          <w:lang w:eastAsia="uk-UA"/>
        </w:rPr>
        <w:t xml:space="preserve">Стаціонарна допомога дорослим та дітям без проведення хірургічних </w:t>
      </w:r>
      <w:proofErr w:type="spellStart"/>
      <w:r w:rsidR="00F13E38" w:rsidRPr="00C254E2">
        <w:rPr>
          <w:sz w:val="28"/>
          <w:szCs w:val="28"/>
          <w:lang w:eastAsia="uk-UA"/>
        </w:rPr>
        <w:t>втручань</w:t>
      </w:r>
      <w:proofErr w:type="spellEnd"/>
      <w:r w:rsidR="00793481">
        <w:rPr>
          <w:sz w:val="28"/>
          <w:szCs w:val="28"/>
          <w:lang w:eastAsia="uk-UA"/>
        </w:rPr>
        <w:t>»</w:t>
      </w:r>
      <w:r w:rsidR="00C33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(текст </w:t>
      </w:r>
      <w:r w:rsidR="00793481">
        <w:rPr>
          <w:sz w:val="28"/>
          <w:szCs w:val="28"/>
        </w:rPr>
        <w:t>З</w:t>
      </w:r>
      <w:r>
        <w:rPr>
          <w:sz w:val="28"/>
          <w:szCs w:val="28"/>
        </w:rPr>
        <w:t>вернення</w:t>
      </w:r>
      <w:r w:rsidR="00DE3EE6">
        <w:rPr>
          <w:sz w:val="28"/>
          <w:szCs w:val="28"/>
        </w:rPr>
        <w:t xml:space="preserve"> </w:t>
      </w:r>
      <w:r>
        <w:rPr>
          <w:sz w:val="28"/>
          <w:szCs w:val="28"/>
        </w:rPr>
        <w:t>дода</w:t>
      </w:r>
      <w:r w:rsidR="00DE3EE6">
        <w:rPr>
          <w:sz w:val="28"/>
          <w:szCs w:val="28"/>
        </w:rPr>
        <w:t>ється</w:t>
      </w:r>
      <w:r>
        <w:rPr>
          <w:sz w:val="28"/>
          <w:szCs w:val="28"/>
        </w:rPr>
        <w:t>)</w:t>
      </w:r>
      <w:r>
        <w:rPr>
          <w:sz w:val="28"/>
        </w:rPr>
        <w:t>.</w:t>
      </w:r>
    </w:p>
    <w:p w:rsidR="00842711" w:rsidRPr="00167ECF" w:rsidRDefault="00842711" w:rsidP="00F13E38">
      <w:pPr>
        <w:pStyle w:val="2"/>
        <w:ind w:firstLine="851"/>
        <w:jc w:val="both"/>
        <w:rPr>
          <w:szCs w:val="28"/>
        </w:rPr>
      </w:pPr>
      <w:r w:rsidRPr="00DE3EE6">
        <w:t>2.</w:t>
      </w:r>
      <w:r w:rsidRPr="003D0C64">
        <w:rPr>
          <w:b/>
        </w:rPr>
        <w:t xml:space="preserve"> </w:t>
      </w:r>
      <w:r>
        <w:rPr>
          <w:b/>
        </w:rPr>
        <w:t xml:space="preserve"> </w:t>
      </w:r>
      <w:r w:rsidRPr="00F2670A">
        <w:rPr>
          <w:szCs w:val="28"/>
        </w:rPr>
        <w:t xml:space="preserve">Контроль за виконанням цього рішення покласти на постійну комісію </w:t>
      </w:r>
      <w:r>
        <w:rPr>
          <w:szCs w:val="28"/>
        </w:rPr>
        <w:t>о</w:t>
      </w:r>
      <w:r w:rsidRPr="00F2670A">
        <w:rPr>
          <w:szCs w:val="28"/>
        </w:rPr>
        <w:t xml:space="preserve">бласної ради </w:t>
      </w:r>
      <w:r w:rsidRPr="00167ECF">
        <w:rPr>
          <w:szCs w:val="28"/>
        </w:rPr>
        <w:t>з питань охорони здоров’я, праці, зайнятості та соціального захисту населення, учасників АТО/ООС</w:t>
      </w:r>
      <w:r>
        <w:rPr>
          <w:szCs w:val="28"/>
        </w:rPr>
        <w:t>.</w:t>
      </w:r>
    </w:p>
    <w:p w:rsidR="00842711" w:rsidRDefault="00842711" w:rsidP="00842711">
      <w:pPr>
        <w:pStyle w:val="2"/>
        <w:ind w:firstLine="540"/>
        <w:jc w:val="both"/>
      </w:pPr>
    </w:p>
    <w:p w:rsidR="00C20CB4" w:rsidRDefault="00C20CB4" w:rsidP="00842711">
      <w:pPr>
        <w:pStyle w:val="a3"/>
        <w:ind w:firstLine="0"/>
        <w:rPr>
          <w:b/>
        </w:rPr>
      </w:pPr>
    </w:p>
    <w:p w:rsidR="00C20CB4" w:rsidRPr="00793481" w:rsidRDefault="00842711" w:rsidP="00793481">
      <w:pPr>
        <w:pStyle w:val="a3"/>
        <w:ind w:firstLine="0"/>
        <w:rPr>
          <w:b/>
        </w:rPr>
      </w:pPr>
      <w:r w:rsidRPr="00756BBD">
        <w:rPr>
          <w:b/>
        </w:rPr>
        <w:t>Голова ради</w:t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  <w:t xml:space="preserve">                   </w:t>
      </w:r>
      <w:r>
        <w:rPr>
          <w:b/>
        </w:rPr>
        <w:t xml:space="preserve"> Олексій ПЕТРОВ</w:t>
      </w:r>
    </w:p>
    <w:p w:rsidR="007F7E9C" w:rsidRDefault="007F7E9C" w:rsidP="00DE3EE6">
      <w:pPr>
        <w:ind w:right="-1"/>
        <w:jc w:val="right"/>
        <w:rPr>
          <w:b/>
          <w:sz w:val="28"/>
          <w:szCs w:val="28"/>
        </w:rPr>
      </w:pPr>
    </w:p>
    <w:p w:rsidR="00DE3EE6" w:rsidRPr="00CD224F" w:rsidRDefault="00DE3EE6" w:rsidP="00DE3EE6">
      <w:pPr>
        <w:ind w:right="-1"/>
        <w:jc w:val="right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t xml:space="preserve">Кабінет Міністрів України </w:t>
      </w:r>
    </w:p>
    <w:p w:rsidR="00C20CB4" w:rsidRDefault="00C20CB4" w:rsidP="00793481">
      <w:pPr>
        <w:ind w:right="-568"/>
        <w:rPr>
          <w:b/>
          <w:sz w:val="28"/>
          <w:szCs w:val="28"/>
        </w:rPr>
      </w:pPr>
    </w:p>
    <w:p w:rsidR="00423BE9" w:rsidRDefault="00423BE9" w:rsidP="00DE3EE6">
      <w:pPr>
        <w:ind w:right="-568"/>
        <w:jc w:val="center"/>
        <w:rPr>
          <w:b/>
          <w:sz w:val="28"/>
          <w:szCs w:val="28"/>
        </w:rPr>
      </w:pPr>
    </w:p>
    <w:p w:rsidR="00423BE9" w:rsidRPr="00CD224F" w:rsidRDefault="00DE3EE6" w:rsidP="00793481">
      <w:pPr>
        <w:ind w:right="-568"/>
        <w:jc w:val="center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t>ЗВЕРНЕННЯ</w:t>
      </w:r>
    </w:p>
    <w:p w:rsidR="00DE3EE6" w:rsidRDefault="00DE3EE6" w:rsidP="00842711">
      <w:pPr>
        <w:ind w:right="-283"/>
        <w:rPr>
          <w:b/>
          <w:sz w:val="28"/>
          <w:szCs w:val="28"/>
        </w:rPr>
      </w:pPr>
    </w:p>
    <w:p w:rsidR="008318BE" w:rsidRDefault="008318BE" w:rsidP="00785601">
      <w:pPr>
        <w:ind w:right="-1" w:firstLine="851"/>
        <w:jc w:val="both"/>
        <w:rPr>
          <w:sz w:val="28"/>
          <w:szCs w:val="28"/>
        </w:rPr>
      </w:pPr>
      <w:r w:rsidRPr="008318BE">
        <w:rPr>
          <w:sz w:val="28"/>
          <w:szCs w:val="28"/>
        </w:rPr>
        <w:t xml:space="preserve">Під час </w:t>
      </w:r>
      <w:r>
        <w:rPr>
          <w:sz w:val="28"/>
          <w:szCs w:val="28"/>
        </w:rPr>
        <w:t xml:space="preserve">реалізації заходів із подолання гострої респіраторної хвороби </w:t>
      </w:r>
      <w:r w:rsidR="00793481">
        <w:rPr>
          <w:sz w:val="28"/>
          <w:szCs w:val="28"/>
        </w:rPr>
        <w:t>COVID-19</w:t>
      </w:r>
      <w:r w:rsidR="00785601">
        <w:rPr>
          <w:sz w:val="28"/>
          <w:szCs w:val="28"/>
        </w:rPr>
        <w:t xml:space="preserve"> заклади охорони здоров’я зіткнулись зі значними викликами і випробуваннями. За період підготовки до подолання пандемії COVID-19 на початок 2020 року і під час здійснення заходів з по</w:t>
      </w:r>
      <w:r w:rsidR="00793481">
        <w:rPr>
          <w:sz w:val="28"/>
          <w:szCs w:val="28"/>
        </w:rPr>
        <w:t>ліпшення</w:t>
      </w:r>
      <w:r w:rsidR="00785601">
        <w:rPr>
          <w:sz w:val="28"/>
          <w:szCs w:val="28"/>
        </w:rPr>
        <w:t xml:space="preserve"> матеріально-технічної бази закладів охорони здоров’я було втілено багато нововведень та вкладено величезні фінансові  ресурси в заклади охорони здоров’я, які надають високоспеціалізовану медичну допомогу і мають добре навчений медичний персонал.</w:t>
      </w:r>
    </w:p>
    <w:p w:rsidR="00F13E38" w:rsidRPr="008318BE" w:rsidRDefault="00F13E38" w:rsidP="00F13E3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Закарпатській області таким закладом </w:t>
      </w:r>
      <w:r w:rsidR="00754A5C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313008">
        <w:rPr>
          <w:sz w:val="28"/>
          <w:szCs w:val="28"/>
        </w:rPr>
        <w:t xml:space="preserve">Комунальне некомерційне підприємство «Обласний клінічний </w:t>
      </w:r>
      <w:proofErr w:type="spellStart"/>
      <w:r w:rsidRPr="00313008">
        <w:rPr>
          <w:sz w:val="28"/>
          <w:szCs w:val="28"/>
        </w:rPr>
        <w:t>фтизіопульмонологічний</w:t>
      </w:r>
      <w:proofErr w:type="spellEnd"/>
      <w:r w:rsidRPr="00313008">
        <w:rPr>
          <w:sz w:val="28"/>
          <w:szCs w:val="28"/>
        </w:rPr>
        <w:t xml:space="preserve"> лікувально-діагностичний центр»</w:t>
      </w:r>
      <w:r>
        <w:rPr>
          <w:sz w:val="28"/>
          <w:szCs w:val="28"/>
        </w:rPr>
        <w:t xml:space="preserve"> (коротка назва -</w:t>
      </w:r>
      <w:r w:rsidR="0079348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КНП </w:t>
      </w:r>
      <w:r w:rsidR="00793481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легеневих </w:t>
      </w:r>
      <w:proofErr w:type="spellStart"/>
      <w:r>
        <w:rPr>
          <w:sz w:val="28"/>
          <w:szCs w:val="28"/>
        </w:rPr>
        <w:t>хвороб</w:t>
      </w:r>
      <w:proofErr w:type="spellEnd"/>
      <w:r w:rsidR="00793481">
        <w:rPr>
          <w:sz w:val="28"/>
          <w:szCs w:val="28"/>
        </w:rPr>
        <w:t>»</w:t>
      </w:r>
      <w:r>
        <w:rPr>
          <w:sz w:val="28"/>
          <w:szCs w:val="28"/>
        </w:rPr>
        <w:t xml:space="preserve"> ЗОР)</w:t>
      </w:r>
      <w:r w:rsidRPr="00313008">
        <w:rPr>
          <w:sz w:val="28"/>
          <w:szCs w:val="28"/>
        </w:rPr>
        <w:t>.</w:t>
      </w:r>
    </w:p>
    <w:p w:rsidR="00F13E38" w:rsidRPr="00F13E38" w:rsidRDefault="00F13E38" w:rsidP="00F13E38">
      <w:pPr>
        <w:ind w:firstLine="708"/>
        <w:jc w:val="both"/>
        <w:rPr>
          <w:sz w:val="28"/>
          <w:szCs w:val="28"/>
        </w:rPr>
      </w:pPr>
      <w:r w:rsidRPr="00F13E38">
        <w:rPr>
          <w:sz w:val="28"/>
          <w:szCs w:val="28"/>
        </w:rPr>
        <w:t xml:space="preserve">Основною метою </w:t>
      </w:r>
      <w:r w:rsidR="00754A5C">
        <w:rPr>
          <w:sz w:val="28"/>
          <w:szCs w:val="28"/>
        </w:rPr>
        <w:t>за</w:t>
      </w:r>
      <w:r>
        <w:rPr>
          <w:sz w:val="28"/>
          <w:szCs w:val="28"/>
        </w:rPr>
        <w:t xml:space="preserve">значеного </w:t>
      </w:r>
      <w:r w:rsidRPr="00F13E38">
        <w:rPr>
          <w:sz w:val="28"/>
          <w:szCs w:val="28"/>
        </w:rPr>
        <w:t xml:space="preserve">закладу стало створення на </w:t>
      </w:r>
      <w:r w:rsidR="00754A5C">
        <w:rPr>
          <w:sz w:val="28"/>
          <w:szCs w:val="28"/>
        </w:rPr>
        <w:t xml:space="preserve">його </w:t>
      </w:r>
      <w:r w:rsidRPr="00F13E38">
        <w:rPr>
          <w:sz w:val="28"/>
          <w:szCs w:val="28"/>
        </w:rPr>
        <w:t xml:space="preserve">базі </w:t>
      </w:r>
      <w:proofErr w:type="spellStart"/>
      <w:r w:rsidRPr="00F13E38">
        <w:rPr>
          <w:sz w:val="28"/>
          <w:szCs w:val="28"/>
        </w:rPr>
        <w:t>монопрофільного</w:t>
      </w:r>
      <w:proofErr w:type="spellEnd"/>
      <w:r w:rsidRPr="00F13E38">
        <w:rPr>
          <w:sz w:val="28"/>
          <w:szCs w:val="28"/>
        </w:rPr>
        <w:t xml:space="preserve"> за</w:t>
      </w:r>
      <w:r w:rsidR="00754A5C">
        <w:rPr>
          <w:sz w:val="28"/>
          <w:szCs w:val="28"/>
        </w:rPr>
        <w:t>кладу багатопрофільної лікарні, що</w:t>
      </w:r>
      <w:r w:rsidRPr="00F13E38">
        <w:rPr>
          <w:sz w:val="28"/>
          <w:szCs w:val="28"/>
        </w:rPr>
        <w:t xml:space="preserve"> дало можливість підвищити конкурентоспроможність закладу під час формування ринку медичних послуг. До традиційних – протитуберкульозної, </w:t>
      </w:r>
      <w:proofErr w:type="spellStart"/>
      <w:r w:rsidRPr="00F13E38">
        <w:rPr>
          <w:sz w:val="28"/>
          <w:szCs w:val="28"/>
        </w:rPr>
        <w:t>торако</w:t>
      </w:r>
      <w:proofErr w:type="spellEnd"/>
      <w:r w:rsidRPr="00F13E38">
        <w:rPr>
          <w:sz w:val="28"/>
          <w:szCs w:val="28"/>
        </w:rPr>
        <w:t xml:space="preserve">-хірургічної та паліативної допомоги було додано </w:t>
      </w:r>
      <w:proofErr w:type="spellStart"/>
      <w:r w:rsidRPr="00F13E38">
        <w:rPr>
          <w:sz w:val="28"/>
          <w:szCs w:val="28"/>
        </w:rPr>
        <w:t>пульмонологічну</w:t>
      </w:r>
      <w:proofErr w:type="spellEnd"/>
      <w:r w:rsidRPr="00F13E38">
        <w:rPr>
          <w:sz w:val="28"/>
          <w:szCs w:val="28"/>
        </w:rPr>
        <w:t xml:space="preserve">, для чого (замість </w:t>
      </w:r>
      <w:proofErr w:type="spellStart"/>
      <w:r w:rsidRPr="00F13E38">
        <w:rPr>
          <w:sz w:val="28"/>
          <w:szCs w:val="28"/>
        </w:rPr>
        <w:t>пульмонологічних</w:t>
      </w:r>
      <w:proofErr w:type="spellEnd"/>
      <w:r w:rsidRPr="00F13E38">
        <w:rPr>
          <w:sz w:val="28"/>
          <w:szCs w:val="28"/>
        </w:rPr>
        <w:t xml:space="preserve"> ліжок) створено </w:t>
      </w:r>
      <w:proofErr w:type="spellStart"/>
      <w:r w:rsidRPr="00F13E38">
        <w:rPr>
          <w:sz w:val="28"/>
          <w:szCs w:val="28"/>
        </w:rPr>
        <w:t>пульмонологічне</w:t>
      </w:r>
      <w:proofErr w:type="spellEnd"/>
      <w:r w:rsidRPr="00F13E38">
        <w:rPr>
          <w:sz w:val="28"/>
          <w:szCs w:val="28"/>
        </w:rPr>
        <w:t xml:space="preserve"> відділення на 30 ліжок із відповідним кадровим потенціалом.</w:t>
      </w:r>
    </w:p>
    <w:p w:rsidR="00F13E38" w:rsidRPr="00F13E38" w:rsidRDefault="00F13E38" w:rsidP="00F13E38">
      <w:pPr>
        <w:ind w:firstLine="708"/>
        <w:jc w:val="both"/>
        <w:rPr>
          <w:sz w:val="28"/>
          <w:szCs w:val="28"/>
        </w:rPr>
      </w:pPr>
      <w:r w:rsidRPr="00F13E38">
        <w:rPr>
          <w:sz w:val="28"/>
          <w:szCs w:val="28"/>
        </w:rPr>
        <w:t xml:space="preserve">Слід відмітити, що КНП </w:t>
      </w:r>
      <w:r w:rsidR="00793481">
        <w:rPr>
          <w:sz w:val="28"/>
          <w:szCs w:val="28"/>
        </w:rPr>
        <w:t>«</w:t>
      </w:r>
      <w:r w:rsidRPr="00F13E38">
        <w:rPr>
          <w:sz w:val="28"/>
          <w:szCs w:val="28"/>
        </w:rPr>
        <w:t xml:space="preserve">Центр легеневих </w:t>
      </w:r>
      <w:proofErr w:type="spellStart"/>
      <w:r w:rsidRPr="00F13E38">
        <w:rPr>
          <w:sz w:val="28"/>
          <w:szCs w:val="28"/>
        </w:rPr>
        <w:t>хвороб</w:t>
      </w:r>
      <w:proofErr w:type="spellEnd"/>
      <w:r w:rsidR="00793481">
        <w:rPr>
          <w:sz w:val="28"/>
          <w:szCs w:val="28"/>
        </w:rPr>
        <w:t>»</w:t>
      </w:r>
      <w:r w:rsidRPr="00F13E38">
        <w:rPr>
          <w:sz w:val="28"/>
          <w:szCs w:val="28"/>
        </w:rPr>
        <w:t xml:space="preserve"> ЗОР є єдиною в області базою для підготовки лікарів за спеціальністю </w:t>
      </w:r>
      <w:r w:rsidR="00793481">
        <w:rPr>
          <w:sz w:val="28"/>
          <w:szCs w:val="28"/>
        </w:rPr>
        <w:t>«</w:t>
      </w:r>
      <w:r w:rsidRPr="00F13E38">
        <w:rPr>
          <w:sz w:val="28"/>
          <w:szCs w:val="28"/>
        </w:rPr>
        <w:t>пульмонологія та фтизіатрія</w:t>
      </w:r>
      <w:r w:rsidR="00793481">
        <w:rPr>
          <w:sz w:val="28"/>
          <w:szCs w:val="28"/>
        </w:rPr>
        <w:t>»</w:t>
      </w:r>
      <w:r w:rsidRPr="00F13E38">
        <w:rPr>
          <w:sz w:val="28"/>
          <w:szCs w:val="28"/>
        </w:rPr>
        <w:t xml:space="preserve"> </w:t>
      </w:r>
      <w:r w:rsidR="00793481">
        <w:rPr>
          <w:sz w:val="28"/>
          <w:szCs w:val="28"/>
        </w:rPr>
        <w:t>і</w:t>
      </w:r>
      <w:r w:rsidRPr="00F13E38">
        <w:rPr>
          <w:sz w:val="28"/>
          <w:szCs w:val="28"/>
        </w:rPr>
        <w:t xml:space="preserve"> їх перепідготовки.</w:t>
      </w:r>
    </w:p>
    <w:p w:rsidR="00F13E38" w:rsidRPr="00F13E38" w:rsidRDefault="00F13E38" w:rsidP="00F13E3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F13E38">
        <w:rPr>
          <w:rFonts w:ascii="Times New Roman" w:hAnsi="Times New Roman" w:cs="Times New Roman"/>
          <w:sz w:val="28"/>
          <w:lang w:val="uk-UA"/>
        </w:rPr>
        <w:t xml:space="preserve">За рахунок залучення коштів Європейського Союзу в рамках реалізації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про</w:t>
      </w:r>
      <w:r w:rsidR="00793481">
        <w:rPr>
          <w:rFonts w:ascii="Times New Roman" w:hAnsi="Times New Roman" w:cs="Times New Roman"/>
          <w:sz w:val="28"/>
          <w:lang w:val="uk-UA"/>
        </w:rPr>
        <w:t>є</w:t>
      </w:r>
      <w:r w:rsidRPr="00F13E38">
        <w:rPr>
          <w:rFonts w:ascii="Times New Roman" w:hAnsi="Times New Roman" w:cs="Times New Roman"/>
          <w:sz w:val="28"/>
          <w:lang w:val="uk-UA"/>
        </w:rPr>
        <w:t>кту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транскордонного співробітництва (кошторис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про</w:t>
      </w:r>
      <w:r w:rsidR="00793481">
        <w:rPr>
          <w:rFonts w:ascii="Times New Roman" w:hAnsi="Times New Roman" w:cs="Times New Roman"/>
          <w:sz w:val="28"/>
          <w:lang w:val="uk-UA"/>
        </w:rPr>
        <w:t>є</w:t>
      </w:r>
      <w:r w:rsidRPr="00F13E38">
        <w:rPr>
          <w:rFonts w:ascii="Times New Roman" w:hAnsi="Times New Roman" w:cs="Times New Roman"/>
          <w:sz w:val="28"/>
          <w:lang w:val="uk-UA"/>
        </w:rPr>
        <w:t>кту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</w:t>
      </w:r>
      <w:r w:rsidR="00793481">
        <w:rPr>
          <w:rFonts w:ascii="Times New Roman" w:hAnsi="Times New Roman" w:cs="Times New Roman"/>
          <w:sz w:val="28"/>
          <w:lang w:val="uk-UA"/>
        </w:rPr>
        <w:t xml:space="preserve">– 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6,2 млн. євро) заклад доукомплектований сучасним діагностичним обладнанням, а саме: 128-зрізовий комп'ютерний томограф,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відеобронхоскоп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бронхоскоп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, портативний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бронхоскоп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відеоторакоскоп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зі стійкою та набором інструментарію,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електрохірургічні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апарати із аргоновою пластикою, відсмоктувачі, апарат УЗД, наркозна станція, кисневі концентратори та кисневі генератори, аналізатори для лаб</w:t>
      </w:r>
      <w:r w:rsidR="00793481">
        <w:rPr>
          <w:rFonts w:ascii="Times New Roman" w:hAnsi="Times New Roman" w:cs="Times New Roman"/>
          <w:sz w:val="28"/>
          <w:lang w:val="uk-UA"/>
        </w:rPr>
        <w:t>ораторій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 тощо.</w:t>
      </w:r>
    </w:p>
    <w:p w:rsidR="00F13E38" w:rsidRPr="00F13E38" w:rsidRDefault="00F13E38" w:rsidP="00F13E3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F13E38">
        <w:rPr>
          <w:rFonts w:ascii="Times New Roman" w:hAnsi="Times New Roman" w:cs="Times New Roman"/>
          <w:sz w:val="28"/>
          <w:lang w:val="uk-UA"/>
        </w:rPr>
        <w:t>Зазначене оснащення, поряд із кваліфікованими кадрами, дає можливість здійснювати своєчасну діагностику, диференційну діагностику різних захворювань органів дихання, а відтак – вчасно розпочати ефективне лікування.</w:t>
      </w:r>
    </w:p>
    <w:p w:rsidR="00F13E38" w:rsidRPr="00F13E38" w:rsidRDefault="00F13E38" w:rsidP="00F13E3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F13E38">
        <w:rPr>
          <w:rFonts w:ascii="Times New Roman" w:hAnsi="Times New Roman" w:cs="Times New Roman"/>
          <w:sz w:val="28"/>
          <w:lang w:val="uk-UA"/>
        </w:rPr>
        <w:t xml:space="preserve">Окрім цього, КНП </w:t>
      </w:r>
      <w:r w:rsidR="00793481">
        <w:rPr>
          <w:rFonts w:ascii="Times New Roman" w:hAnsi="Times New Roman" w:cs="Times New Roman"/>
          <w:sz w:val="28"/>
          <w:lang w:val="uk-UA"/>
        </w:rPr>
        <w:t>«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Обласний клінічний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фтизіопульмонологічний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лікувально-діагностичний центр</w:t>
      </w:r>
      <w:r w:rsidR="007F7E9C">
        <w:rPr>
          <w:rFonts w:ascii="Times New Roman" w:hAnsi="Times New Roman" w:cs="Times New Roman"/>
          <w:sz w:val="28"/>
          <w:lang w:val="uk-UA"/>
        </w:rPr>
        <w:t>»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 Закарпатської обласної ради включене в першу хвилю закладів для надання медичної допомоги пацієнтам із гострою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коронавірусною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хворобою </w:t>
      </w:r>
      <w:r w:rsidRPr="00F13E38">
        <w:rPr>
          <w:rFonts w:ascii="Times New Roman" w:hAnsi="Times New Roman" w:cs="Times New Roman"/>
          <w:sz w:val="28"/>
        </w:rPr>
        <w:t>COVID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-19, зумовленою вірусом  </w:t>
      </w:r>
      <w:r w:rsidRPr="00F13E38">
        <w:rPr>
          <w:rFonts w:ascii="Times New Roman" w:hAnsi="Times New Roman" w:cs="Times New Roman"/>
          <w:sz w:val="28"/>
        </w:rPr>
        <w:t>SARS</w:t>
      </w:r>
      <w:r w:rsidRPr="00F13E38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 w:rsidRPr="00F13E38">
        <w:rPr>
          <w:rFonts w:ascii="Times New Roman" w:hAnsi="Times New Roman" w:cs="Times New Roman"/>
          <w:sz w:val="28"/>
        </w:rPr>
        <w:t>CoV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-2  та із квітня 2020 року по теперішній час ефективно здійснює лікування пацієнтів із </w:t>
      </w:r>
      <w:r w:rsidR="007F7E9C">
        <w:rPr>
          <w:rFonts w:ascii="Times New Roman" w:hAnsi="Times New Roman" w:cs="Times New Roman"/>
          <w:sz w:val="28"/>
          <w:lang w:val="uk-UA"/>
        </w:rPr>
        <w:t>цією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 недугою, демонструючи хороші результати.</w:t>
      </w:r>
    </w:p>
    <w:p w:rsidR="00F13E38" w:rsidRPr="007F7E9C" w:rsidRDefault="00F13E38" w:rsidP="007F7E9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423BE9">
        <w:rPr>
          <w:rFonts w:ascii="Times New Roman" w:hAnsi="Times New Roman" w:cs="Times New Roman"/>
          <w:sz w:val="28"/>
          <w:lang w:val="uk-UA"/>
        </w:rPr>
        <w:t xml:space="preserve">Відмова в укладанні угоди із НСЗУ за пакетом </w:t>
      </w:r>
      <w:r w:rsidR="007F7E9C">
        <w:rPr>
          <w:rFonts w:ascii="Times New Roman" w:hAnsi="Times New Roman" w:cs="Times New Roman"/>
          <w:sz w:val="28"/>
          <w:lang w:val="uk-UA"/>
        </w:rPr>
        <w:t>«</w:t>
      </w:r>
      <w:r w:rsidRPr="00423BE9">
        <w:rPr>
          <w:rFonts w:ascii="Times New Roman" w:hAnsi="Times New Roman" w:cs="Times New Roman"/>
          <w:sz w:val="28"/>
          <w:lang w:val="uk-UA"/>
        </w:rPr>
        <w:t xml:space="preserve">Стаціонарна допомога </w:t>
      </w:r>
      <w:r w:rsidRPr="00423BE9">
        <w:rPr>
          <w:rFonts w:ascii="Times New Roman" w:hAnsi="Times New Roman" w:cs="Times New Roman"/>
          <w:sz w:val="28"/>
          <w:lang w:val="uk-UA"/>
        </w:rPr>
        <w:lastRenderedPageBreak/>
        <w:t xml:space="preserve">дорослим та дітям без проведення хірургічних </w:t>
      </w:r>
      <w:proofErr w:type="spellStart"/>
      <w:r w:rsidRPr="00423BE9">
        <w:rPr>
          <w:rFonts w:ascii="Times New Roman" w:hAnsi="Times New Roman" w:cs="Times New Roman"/>
          <w:sz w:val="28"/>
          <w:lang w:val="uk-UA"/>
        </w:rPr>
        <w:t>втручань</w:t>
      </w:r>
      <w:proofErr w:type="spellEnd"/>
      <w:r w:rsidR="007F7E9C">
        <w:rPr>
          <w:rFonts w:ascii="Times New Roman" w:hAnsi="Times New Roman" w:cs="Times New Roman"/>
          <w:sz w:val="28"/>
          <w:lang w:val="uk-UA"/>
        </w:rPr>
        <w:t>»</w:t>
      </w:r>
      <w:r w:rsidRPr="00423BE9">
        <w:rPr>
          <w:rFonts w:ascii="Times New Roman" w:hAnsi="Times New Roman" w:cs="Times New Roman"/>
          <w:sz w:val="28"/>
          <w:lang w:val="uk-UA"/>
        </w:rPr>
        <w:t xml:space="preserve"> становить загрозу стратегії розвитку нашого закладу та знизить рівень надання </w:t>
      </w:r>
      <w:proofErr w:type="spellStart"/>
      <w:r w:rsidRPr="00423BE9">
        <w:rPr>
          <w:rFonts w:ascii="Times New Roman" w:hAnsi="Times New Roman" w:cs="Times New Roman"/>
          <w:sz w:val="28"/>
          <w:lang w:val="uk-UA"/>
        </w:rPr>
        <w:t>пульмонологічної</w:t>
      </w:r>
      <w:proofErr w:type="spellEnd"/>
      <w:r w:rsidRPr="00423BE9">
        <w:rPr>
          <w:rFonts w:ascii="Times New Roman" w:hAnsi="Times New Roman" w:cs="Times New Roman"/>
          <w:sz w:val="28"/>
          <w:lang w:val="uk-UA"/>
        </w:rPr>
        <w:t xml:space="preserve"> допомоги населенню Закарпатської області.</w:t>
      </w:r>
    </w:p>
    <w:p w:rsidR="00F13E38" w:rsidRPr="00C20CB4" w:rsidRDefault="00F13E38" w:rsidP="00F13E38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F13E38">
        <w:rPr>
          <w:rFonts w:ascii="Times New Roman" w:hAnsi="Times New Roman" w:cs="Times New Roman"/>
          <w:sz w:val="28"/>
          <w:lang w:val="uk-UA"/>
        </w:rPr>
        <w:t xml:space="preserve">Зважаючи на викладене, звертаємося із проханням </w:t>
      </w:r>
      <w:proofErr w:type="spellStart"/>
      <w:r w:rsidRPr="00F13E38">
        <w:rPr>
          <w:rFonts w:ascii="Times New Roman" w:hAnsi="Times New Roman" w:cs="Times New Roman"/>
          <w:sz w:val="28"/>
          <w:lang w:val="uk-UA"/>
        </w:rPr>
        <w:t>внес</w:t>
      </w:r>
      <w:r w:rsidR="00B37908">
        <w:rPr>
          <w:rFonts w:ascii="Times New Roman" w:hAnsi="Times New Roman" w:cs="Times New Roman"/>
          <w:sz w:val="28"/>
          <w:lang w:val="uk-UA"/>
        </w:rPr>
        <w:t>ти</w:t>
      </w:r>
      <w:proofErr w:type="spellEnd"/>
      <w:r w:rsidRPr="00F13E38">
        <w:rPr>
          <w:rFonts w:ascii="Times New Roman" w:hAnsi="Times New Roman" w:cs="Times New Roman"/>
          <w:sz w:val="28"/>
          <w:lang w:val="uk-UA"/>
        </w:rPr>
        <w:t xml:space="preserve"> змін</w:t>
      </w:r>
      <w:r w:rsidR="00B37908">
        <w:rPr>
          <w:rFonts w:ascii="Times New Roman" w:hAnsi="Times New Roman" w:cs="Times New Roman"/>
          <w:sz w:val="28"/>
          <w:lang w:val="uk-UA"/>
        </w:rPr>
        <w:t>и</w:t>
      </w:r>
      <w:r w:rsidR="00452D44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F13E38">
        <w:rPr>
          <w:rFonts w:ascii="Times New Roman" w:hAnsi="Times New Roman" w:cs="Times New Roman"/>
          <w:sz w:val="28"/>
          <w:lang w:val="uk-UA"/>
        </w:rPr>
        <w:t xml:space="preserve"> до постанови  Кабінету Міністрів України від 15 лютого 2021 року №133 </w:t>
      </w:r>
      <w:r w:rsidR="007F7E9C">
        <w:rPr>
          <w:rFonts w:ascii="Times New Roman" w:hAnsi="Times New Roman" w:cs="Times New Roman"/>
          <w:sz w:val="28"/>
          <w:lang w:val="uk-UA"/>
        </w:rPr>
        <w:t>«</w:t>
      </w:r>
      <w:r w:rsidRPr="00F13E38">
        <w:rPr>
          <w:rFonts w:ascii="Times New Roman" w:hAnsi="Times New Roman" w:cs="Times New Roman"/>
          <w:sz w:val="28"/>
          <w:lang w:val="uk-UA"/>
        </w:rPr>
        <w:t>Деякі питання реалізації програми державних гарантій медичного обслуговування населення у ІІ-І</w:t>
      </w:r>
      <w:r w:rsidRPr="00F13E38">
        <w:rPr>
          <w:rFonts w:ascii="Times New Roman" w:hAnsi="Times New Roman" w:cs="Times New Roman"/>
          <w:sz w:val="28"/>
          <w:lang w:val="en-US"/>
        </w:rPr>
        <w:t>V</w:t>
      </w:r>
      <w:r w:rsidRPr="00F13E38">
        <w:rPr>
          <w:rFonts w:ascii="Times New Roman" w:hAnsi="Times New Roman" w:cs="Times New Roman"/>
          <w:sz w:val="28"/>
          <w:lang w:val="uk-UA"/>
        </w:rPr>
        <w:t xml:space="preserve"> кварталі 2021 року</w:t>
      </w:r>
      <w:r w:rsidR="007F7E9C">
        <w:rPr>
          <w:rFonts w:ascii="Times New Roman" w:hAnsi="Times New Roman" w:cs="Times New Roman"/>
          <w:sz w:val="28"/>
          <w:lang w:val="uk-UA"/>
        </w:rPr>
        <w:t>»</w:t>
      </w:r>
      <w:r w:rsidR="00C20CB4" w:rsidRPr="00C20CB4">
        <w:rPr>
          <w:sz w:val="28"/>
          <w:lang w:val="uk-UA" w:eastAsia="uk-UA"/>
        </w:rPr>
        <w:t xml:space="preserve"> </w:t>
      </w:r>
      <w:r w:rsidR="00C20CB4" w:rsidRPr="00C20CB4">
        <w:rPr>
          <w:rFonts w:ascii="Times New Roman" w:hAnsi="Times New Roman" w:cs="Times New Roman"/>
          <w:sz w:val="28"/>
          <w:lang w:val="uk-UA" w:eastAsia="uk-UA"/>
        </w:rPr>
        <w:t xml:space="preserve">в частині зняття обмежень та надання можливості </w:t>
      </w:r>
      <w:proofErr w:type="spellStart"/>
      <w:r w:rsidR="00C20CB4" w:rsidRPr="00C20CB4">
        <w:rPr>
          <w:rFonts w:ascii="Times New Roman" w:hAnsi="Times New Roman" w:cs="Times New Roman"/>
          <w:sz w:val="28"/>
          <w:lang w:val="uk-UA" w:eastAsia="uk-UA"/>
        </w:rPr>
        <w:t>фтизіопульмонологічним</w:t>
      </w:r>
      <w:proofErr w:type="spellEnd"/>
      <w:r w:rsidR="00C20CB4" w:rsidRPr="00C20CB4">
        <w:rPr>
          <w:rFonts w:ascii="Times New Roman" w:hAnsi="Times New Roman" w:cs="Times New Roman"/>
          <w:sz w:val="28"/>
          <w:lang w:val="uk-UA" w:eastAsia="uk-UA"/>
        </w:rPr>
        <w:t xml:space="preserve"> центрам, які у своєму складі мають </w:t>
      </w:r>
      <w:proofErr w:type="spellStart"/>
      <w:r w:rsidR="00C20CB4" w:rsidRPr="00C20CB4">
        <w:rPr>
          <w:rFonts w:ascii="Times New Roman" w:hAnsi="Times New Roman" w:cs="Times New Roman"/>
          <w:sz w:val="28"/>
          <w:lang w:val="uk-UA" w:eastAsia="uk-UA"/>
        </w:rPr>
        <w:t>пульмонологічні</w:t>
      </w:r>
      <w:proofErr w:type="spellEnd"/>
      <w:r w:rsidR="00C20CB4" w:rsidRPr="00C20CB4">
        <w:rPr>
          <w:rFonts w:ascii="Times New Roman" w:hAnsi="Times New Roman" w:cs="Times New Roman"/>
          <w:sz w:val="28"/>
          <w:lang w:val="uk-UA" w:eastAsia="uk-UA"/>
        </w:rPr>
        <w:t xml:space="preserve"> відділення, укладати договір із Національною службою здоров'я України на надання медичної допомоги одночасно за пакетом </w:t>
      </w:r>
      <w:r w:rsidR="007F7E9C">
        <w:rPr>
          <w:rFonts w:ascii="Times New Roman" w:hAnsi="Times New Roman" w:cs="Times New Roman"/>
          <w:sz w:val="28"/>
          <w:lang w:val="uk-UA" w:eastAsia="uk-UA"/>
        </w:rPr>
        <w:t>«</w:t>
      </w:r>
      <w:r w:rsidR="00C20CB4" w:rsidRPr="00C20CB4">
        <w:rPr>
          <w:rFonts w:ascii="Times New Roman" w:hAnsi="Times New Roman" w:cs="Times New Roman"/>
          <w:sz w:val="28"/>
          <w:lang w:val="uk-UA" w:eastAsia="uk-UA"/>
        </w:rPr>
        <w:t>Лікування дорослих та дітей із туберкульозом у стаціонарних та амбулаторних умовах</w:t>
      </w:r>
      <w:r w:rsidR="007F7E9C">
        <w:rPr>
          <w:rFonts w:ascii="Times New Roman" w:hAnsi="Times New Roman" w:cs="Times New Roman"/>
          <w:sz w:val="28"/>
          <w:lang w:val="uk-UA" w:eastAsia="uk-UA"/>
        </w:rPr>
        <w:t>»</w:t>
      </w:r>
      <w:r w:rsidR="00C20CB4" w:rsidRPr="00C20CB4">
        <w:rPr>
          <w:rFonts w:ascii="Times New Roman" w:hAnsi="Times New Roman" w:cs="Times New Roman"/>
          <w:sz w:val="28"/>
          <w:lang w:val="uk-UA" w:eastAsia="uk-UA"/>
        </w:rPr>
        <w:t xml:space="preserve"> та </w:t>
      </w:r>
      <w:r w:rsidR="007F7E9C">
        <w:rPr>
          <w:rFonts w:ascii="Times New Roman" w:hAnsi="Times New Roman" w:cs="Times New Roman"/>
          <w:sz w:val="28"/>
          <w:lang w:val="uk-UA" w:eastAsia="uk-UA"/>
        </w:rPr>
        <w:t>«</w:t>
      </w:r>
      <w:r w:rsidR="00C20CB4" w:rsidRPr="00C20CB4">
        <w:rPr>
          <w:rFonts w:ascii="Times New Roman" w:hAnsi="Times New Roman" w:cs="Times New Roman"/>
          <w:sz w:val="28"/>
          <w:lang w:val="uk-UA" w:eastAsia="uk-UA"/>
        </w:rPr>
        <w:t xml:space="preserve">Стаціонарна допомога дорослим та дітям без проведення хірургічних </w:t>
      </w:r>
      <w:proofErr w:type="spellStart"/>
      <w:r w:rsidR="00C20CB4" w:rsidRPr="00C20CB4">
        <w:rPr>
          <w:rFonts w:ascii="Times New Roman" w:hAnsi="Times New Roman" w:cs="Times New Roman"/>
          <w:sz w:val="28"/>
          <w:lang w:val="uk-UA" w:eastAsia="uk-UA"/>
        </w:rPr>
        <w:t>втручань</w:t>
      </w:r>
      <w:proofErr w:type="spellEnd"/>
      <w:r w:rsidR="007F7E9C">
        <w:rPr>
          <w:rFonts w:ascii="Times New Roman" w:hAnsi="Times New Roman" w:cs="Times New Roman"/>
          <w:sz w:val="28"/>
          <w:lang w:val="uk-UA" w:eastAsia="uk-UA"/>
        </w:rPr>
        <w:t>»</w:t>
      </w:r>
      <w:r w:rsidRPr="00C20CB4">
        <w:rPr>
          <w:rFonts w:ascii="Times New Roman" w:hAnsi="Times New Roman" w:cs="Times New Roman"/>
          <w:sz w:val="28"/>
          <w:lang w:val="uk-UA"/>
        </w:rPr>
        <w:t>.</w:t>
      </w:r>
    </w:p>
    <w:p w:rsidR="008318BE" w:rsidRDefault="008318BE" w:rsidP="00842711">
      <w:pPr>
        <w:ind w:right="-283"/>
        <w:rPr>
          <w:b/>
          <w:sz w:val="28"/>
          <w:szCs w:val="28"/>
        </w:rPr>
      </w:pPr>
    </w:p>
    <w:p w:rsidR="008318BE" w:rsidRDefault="008318BE" w:rsidP="00842711">
      <w:pPr>
        <w:ind w:right="-283"/>
        <w:rPr>
          <w:b/>
          <w:sz w:val="28"/>
          <w:szCs w:val="28"/>
        </w:rPr>
      </w:pPr>
    </w:p>
    <w:p w:rsidR="00842711" w:rsidRPr="00791ABB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 xml:space="preserve">Звернення прийнято на </w:t>
      </w:r>
      <w:r w:rsidR="00D24249">
        <w:rPr>
          <w:rFonts w:ascii="Times New Roman" w:hAnsi="Times New Roman" w:cs="Times New Roman"/>
          <w:b/>
          <w:sz w:val="28"/>
          <w:szCs w:val="28"/>
        </w:rPr>
        <w:t>третьому</w:t>
      </w:r>
      <w:r w:rsidRPr="00791ABB">
        <w:rPr>
          <w:rFonts w:ascii="Times New Roman" w:hAnsi="Times New Roman" w:cs="Times New Roman"/>
          <w:b/>
          <w:sz w:val="28"/>
          <w:szCs w:val="28"/>
        </w:rPr>
        <w:t xml:space="preserve"> пленарному засіданні</w:t>
      </w:r>
    </w:p>
    <w:p w:rsidR="00842711" w:rsidRDefault="00D24249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третьої</w:t>
      </w:r>
      <w:r w:rsidR="00842711" w:rsidRPr="00791ABB">
        <w:rPr>
          <w:rFonts w:ascii="Times New Roman" w:hAnsi="Times New Roman" w:cs="Times New Roman"/>
          <w:b/>
          <w:sz w:val="28"/>
          <w:szCs w:val="28"/>
        </w:rPr>
        <w:t xml:space="preserve"> сесії обласної ради VІІІ скликання</w:t>
      </w:r>
    </w:p>
    <w:p w:rsidR="00842711" w:rsidRPr="00791ABB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711" w:rsidRDefault="00842711" w:rsidP="0084271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>Депутати Закарпатської  обласної  ради  VІІІ  скликання</w:t>
      </w:r>
    </w:p>
    <w:p w:rsidR="00D05643" w:rsidRDefault="00D05643"/>
    <w:sectPr w:rsidR="00D05643" w:rsidSect="00D5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1C1"/>
    <w:multiLevelType w:val="hybridMultilevel"/>
    <w:tmpl w:val="FF5E6930"/>
    <w:lvl w:ilvl="0" w:tplc="FCEC9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11"/>
    <w:rsid w:val="001630BC"/>
    <w:rsid w:val="00423BE9"/>
    <w:rsid w:val="00452D44"/>
    <w:rsid w:val="005139D6"/>
    <w:rsid w:val="00754A5C"/>
    <w:rsid w:val="00785601"/>
    <w:rsid w:val="00793481"/>
    <w:rsid w:val="007F7E9C"/>
    <w:rsid w:val="008318BE"/>
    <w:rsid w:val="00842711"/>
    <w:rsid w:val="009806A3"/>
    <w:rsid w:val="00B23919"/>
    <w:rsid w:val="00B37908"/>
    <w:rsid w:val="00BE50DC"/>
    <w:rsid w:val="00C20CB4"/>
    <w:rsid w:val="00C3360E"/>
    <w:rsid w:val="00D05643"/>
    <w:rsid w:val="00D24249"/>
    <w:rsid w:val="00DE3EE6"/>
    <w:rsid w:val="00E06FB5"/>
    <w:rsid w:val="00F1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BB"/>
  <w15:chartTrackingRefBased/>
  <w15:docId w15:val="{B8BF14B6-F220-49B4-B0ED-B638FA84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711"/>
    <w:pPr>
      <w:ind w:firstLine="72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842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842711"/>
    <w:pPr>
      <w:ind w:firstLine="708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8427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42711"/>
    <w:pPr>
      <w:ind w:left="720"/>
      <w:contextualSpacing/>
    </w:pPr>
  </w:style>
  <w:style w:type="paragraph" w:styleId="a6">
    <w:name w:val="No Spacing"/>
    <w:uiPriority w:val="1"/>
    <w:qFormat/>
    <w:rsid w:val="00842711"/>
    <w:pPr>
      <w:spacing w:after="0" w:line="240" w:lineRule="auto"/>
    </w:pPr>
    <w:rPr>
      <w:lang w:val="uk-UA"/>
    </w:rPr>
  </w:style>
  <w:style w:type="character" w:customStyle="1" w:styleId="21">
    <w:name w:val="Основний текст (2)_"/>
    <w:link w:val="22"/>
    <w:rsid w:val="00F13E38"/>
    <w:rPr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13E38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2"/>
      <w:szCs w:val="28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630B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30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SemalN</cp:lastModifiedBy>
  <cp:revision>15</cp:revision>
  <cp:lastPrinted>2021-09-20T13:57:00Z</cp:lastPrinted>
  <dcterms:created xsi:type="dcterms:W3CDTF">2021-08-20T09:57:00Z</dcterms:created>
  <dcterms:modified xsi:type="dcterms:W3CDTF">2021-09-21T07:49:00Z</dcterms:modified>
</cp:coreProperties>
</file>