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B34194" w:rsidRPr="00935241" w14:paraId="0652CB89" w14:textId="77777777" w:rsidTr="00FB2EB3">
        <w:tc>
          <w:tcPr>
            <w:tcW w:w="5245" w:type="dxa"/>
            <w:hideMark/>
          </w:tcPr>
          <w:p w14:paraId="31C72C34" w14:textId="77777777" w:rsidR="00B34194" w:rsidRPr="0083537E" w:rsidRDefault="00B34194" w:rsidP="00FB2EB3">
            <w:pPr>
              <w:pStyle w:val="31"/>
              <w:spacing w:line="20" w:lineRule="atLeast"/>
              <w:ind w:firstLine="0"/>
              <w:rPr>
                <w:bCs/>
                <w:sz w:val="28"/>
                <w:szCs w:val="28"/>
              </w:rPr>
            </w:pPr>
            <w:r w:rsidRPr="00935241">
              <w:rPr>
                <w:b/>
                <w:sz w:val="28"/>
                <w:szCs w:val="28"/>
              </w:rPr>
              <w:t>Ініціатор: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537E">
              <w:rPr>
                <w:bCs/>
                <w:sz w:val="28"/>
                <w:szCs w:val="28"/>
              </w:rPr>
              <w:t xml:space="preserve">голова обласної ради </w:t>
            </w:r>
          </w:p>
          <w:p w14:paraId="40F7908C" w14:textId="77777777" w:rsidR="00B34194" w:rsidRPr="00935241" w:rsidRDefault="00B34194" w:rsidP="00FB2EB3">
            <w:pPr>
              <w:pStyle w:val="31"/>
              <w:spacing w:line="20" w:lineRule="atLeast"/>
              <w:ind w:firstLine="0"/>
              <w:rPr>
                <w:sz w:val="28"/>
                <w:szCs w:val="28"/>
              </w:rPr>
            </w:pPr>
            <w:r w:rsidRPr="00935241">
              <w:rPr>
                <w:b/>
                <w:bCs/>
                <w:sz w:val="28"/>
                <w:szCs w:val="28"/>
              </w:rPr>
              <w:t>Автор</w:t>
            </w:r>
            <w:r w:rsidRPr="0083537E">
              <w:rPr>
                <w:sz w:val="28"/>
                <w:szCs w:val="28"/>
              </w:rPr>
              <w:t>: виконавчий апарат обласної ради</w:t>
            </w:r>
          </w:p>
        </w:tc>
        <w:tc>
          <w:tcPr>
            <w:tcW w:w="4536" w:type="dxa"/>
            <w:hideMark/>
          </w:tcPr>
          <w:p w14:paraId="74711389" w14:textId="77777777" w:rsidR="00B34194" w:rsidRPr="00935241" w:rsidRDefault="00B34194" w:rsidP="00FB2EB3">
            <w:pPr>
              <w:pStyle w:val="1"/>
              <w:spacing w:line="20" w:lineRule="atLeast"/>
              <w:ind w:firstLine="567"/>
              <w:jc w:val="right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ПРОЄ</w:t>
            </w:r>
            <w:r w:rsidRPr="00935241">
              <w:rPr>
                <w:b/>
                <w:sz w:val="28"/>
                <w:szCs w:val="28"/>
                <w:lang w:val="uk-UA" w:eastAsia="en-US"/>
              </w:rPr>
              <w:t xml:space="preserve">КТ </w:t>
            </w:r>
          </w:p>
          <w:p w14:paraId="31077651" w14:textId="51A6B8CD" w:rsidR="00B34194" w:rsidRPr="00935241" w:rsidRDefault="00B34194" w:rsidP="00FB2EB3">
            <w:pPr>
              <w:pStyle w:val="1"/>
              <w:spacing w:line="20" w:lineRule="atLeast"/>
              <w:ind w:firstLine="567"/>
              <w:jc w:val="right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№ </w:t>
            </w:r>
            <w:r w:rsidR="00B50CF9">
              <w:rPr>
                <w:b/>
                <w:bCs/>
                <w:sz w:val="28"/>
                <w:szCs w:val="28"/>
                <w:lang w:val="uk-UA"/>
              </w:rPr>
              <w:t xml:space="preserve"> 131</w:t>
            </w:r>
            <w:r w:rsidR="00831AB1">
              <w:rPr>
                <w:b/>
                <w:bCs/>
                <w:sz w:val="28"/>
                <w:szCs w:val="28"/>
                <w:lang w:val="uk-UA"/>
              </w:rPr>
              <w:t>8</w:t>
            </w:r>
            <w:r>
              <w:rPr>
                <w:b/>
                <w:bCs/>
                <w:sz w:val="28"/>
                <w:szCs w:val="28"/>
                <w:lang w:val="uk-UA"/>
              </w:rPr>
              <w:t>/01</w:t>
            </w:r>
            <w:r w:rsidR="00B50CF9">
              <w:rPr>
                <w:b/>
                <w:bCs/>
                <w:sz w:val="28"/>
                <w:szCs w:val="28"/>
                <w:lang w:val="uk-UA"/>
              </w:rPr>
              <w:t>.1</w:t>
            </w:r>
            <w:r>
              <w:rPr>
                <w:b/>
                <w:bCs/>
                <w:sz w:val="28"/>
                <w:szCs w:val="28"/>
                <w:lang w:val="uk-UA"/>
              </w:rPr>
              <w:t>-1</w:t>
            </w:r>
            <w:r w:rsidR="00B50CF9">
              <w:rPr>
                <w:b/>
                <w:bCs/>
                <w:sz w:val="28"/>
                <w:szCs w:val="28"/>
                <w:lang w:val="uk-UA"/>
              </w:rPr>
              <w:t>4</w:t>
            </w:r>
            <w:r w:rsidRPr="0083537E">
              <w:rPr>
                <w:sz w:val="28"/>
                <w:szCs w:val="28"/>
                <w:lang w:val="uk-UA"/>
              </w:rPr>
              <w:t xml:space="preserve"> </w:t>
            </w:r>
            <w:r w:rsidRPr="00935241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</w:p>
        </w:tc>
      </w:tr>
    </w:tbl>
    <w:p w14:paraId="3156EC89" w14:textId="77777777" w:rsidR="00B34194" w:rsidRPr="00935241" w:rsidRDefault="00B34194" w:rsidP="00B34194">
      <w:pPr>
        <w:spacing w:line="20" w:lineRule="atLeast"/>
        <w:ind w:firstLine="567"/>
        <w:jc w:val="right"/>
        <w:rPr>
          <w:b/>
          <w:sz w:val="28"/>
          <w:szCs w:val="28"/>
        </w:rPr>
      </w:pPr>
    </w:p>
    <w:p w14:paraId="6EBD0C39" w14:textId="77777777" w:rsidR="00B34194" w:rsidRPr="00935241" w:rsidRDefault="00B34194" w:rsidP="00B34194">
      <w:pPr>
        <w:spacing w:line="20" w:lineRule="atLeast"/>
        <w:ind w:firstLine="567"/>
        <w:jc w:val="right"/>
        <w:rPr>
          <w:b/>
          <w:sz w:val="28"/>
          <w:szCs w:val="28"/>
        </w:rPr>
      </w:pPr>
    </w:p>
    <w:p w14:paraId="658AD958" w14:textId="77777777" w:rsidR="00B34194" w:rsidRPr="00935241" w:rsidRDefault="00B34194" w:rsidP="00B34194">
      <w:pPr>
        <w:spacing w:line="20" w:lineRule="atLeast"/>
        <w:ind w:firstLine="567"/>
        <w:jc w:val="center"/>
        <w:rPr>
          <w:b/>
          <w:sz w:val="28"/>
          <w:szCs w:val="28"/>
        </w:rPr>
      </w:pPr>
      <w:r w:rsidRPr="00935241">
        <w:rPr>
          <w:noProof/>
          <w:sz w:val="28"/>
          <w:szCs w:val="28"/>
        </w:rPr>
        <w:drawing>
          <wp:inline distT="0" distB="0" distL="0" distR="0" wp14:anchorId="0F7E9A77" wp14:editId="06F88666">
            <wp:extent cx="426720" cy="601980"/>
            <wp:effectExtent l="0" t="0" r="0" b="7620"/>
            <wp:docPr id="5" name="Рисунок 1" descr="Зображення, що містить символ, текст, емблема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 descr="Зображення, що містить символ, текст, емблема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101E0" w14:textId="77777777" w:rsidR="00B34194" w:rsidRPr="00B34194" w:rsidRDefault="00B34194" w:rsidP="00B34194">
      <w:pPr>
        <w:spacing w:line="20" w:lineRule="atLeast"/>
        <w:ind w:firstLine="567"/>
        <w:jc w:val="center"/>
        <w:rPr>
          <w:b/>
          <w:sz w:val="28"/>
          <w:szCs w:val="28"/>
          <w:lang w:val="ru-RU"/>
        </w:rPr>
      </w:pPr>
      <w:r w:rsidRPr="00B34194">
        <w:rPr>
          <w:b/>
          <w:sz w:val="28"/>
          <w:szCs w:val="28"/>
          <w:lang w:val="ru-RU"/>
        </w:rPr>
        <w:t>ЗАКАРПАТСЬКА ОБЛАСНА РАДА</w:t>
      </w:r>
    </w:p>
    <w:p w14:paraId="7971C058" w14:textId="77777777" w:rsidR="00B34194" w:rsidRPr="00B34194" w:rsidRDefault="00B34194" w:rsidP="00B34194">
      <w:pPr>
        <w:spacing w:line="20" w:lineRule="atLeast"/>
        <w:ind w:firstLine="567"/>
        <w:jc w:val="center"/>
        <w:rPr>
          <w:b/>
          <w:sz w:val="24"/>
          <w:szCs w:val="24"/>
          <w:lang w:val="ru-RU"/>
        </w:rPr>
      </w:pPr>
    </w:p>
    <w:p w14:paraId="1BECE53C" w14:textId="7B6476CA" w:rsidR="00B34194" w:rsidRPr="00B34194" w:rsidRDefault="00B50CF9" w:rsidP="00B34194">
      <w:pPr>
        <w:spacing w:line="20" w:lineRule="atLeast"/>
        <w:ind w:firstLine="567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П'ят</w:t>
      </w:r>
      <w:r w:rsidR="00B34194" w:rsidRPr="00B34194">
        <w:rPr>
          <w:b/>
          <w:sz w:val="28"/>
          <w:szCs w:val="28"/>
          <w:lang w:val="ru-RU"/>
        </w:rPr>
        <w:t xml:space="preserve">надцята сесія </w:t>
      </w:r>
      <w:r w:rsidR="00B34194" w:rsidRPr="00935241">
        <w:rPr>
          <w:b/>
          <w:sz w:val="28"/>
          <w:szCs w:val="28"/>
        </w:rPr>
        <w:t>VI</w:t>
      </w:r>
      <w:r w:rsidR="00B34194" w:rsidRPr="00B34194">
        <w:rPr>
          <w:b/>
          <w:sz w:val="28"/>
          <w:szCs w:val="28"/>
          <w:lang w:val="ru-RU"/>
        </w:rPr>
        <w:t>ІІ скликання</w:t>
      </w:r>
    </w:p>
    <w:p w14:paraId="6A22EC9C" w14:textId="77777777" w:rsidR="00B34194" w:rsidRPr="00B34194" w:rsidRDefault="00B34194" w:rsidP="00B34194">
      <w:pPr>
        <w:spacing w:line="20" w:lineRule="atLeast"/>
        <w:ind w:firstLine="567"/>
        <w:jc w:val="center"/>
        <w:rPr>
          <w:b/>
          <w:sz w:val="28"/>
          <w:szCs w:val="28"/>
          <w:lang w:val="ru-RU"/>
        </w:rPr>
      </w:pPr>
    </w:p>
    <w:p w14:paraId="58DC1741" w14:textId="77777777" w:rsidR="00B34194" w:rsidRPr="00935241" w:rsidRDefault="00B34194" w:rsidP="00B34194">
      <w:pPr>
        <w:spacing w:line="20" w:lineRule="atLeast"/>
        <w:ind w:firstLine="567"/>
        <w:jc w:val="center"/>
        <w:rPr>
          <w:b/>
          <w:sz w:val="28"/>
          <w:szCs w:val="28"/>
        </w:rPr>
      </w:pPr>
      <w:r w:rsidRPr="00935241">
        <w:rPr>
          <w:b/>
          <w:sz w:val="28"/>
          <w:szCs w:val="28"/>
        </w:rPr>
        <w:t>Р І Ш Е Н Н Я</w:t>
      </w:r>
    </w:p>
    <w:p w14:paraId="0E74F8C0" w14:textId="77777777" w:rsidR="00B34194" w:rsidRPr="00935241" w:rsidRDefault="00B34194" w:rsidP="00B34194">
      <w:pPr>
        <w:spacing w:line="20" w:lineRule="atLeast"/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4"/>
        <w:gridCol w:w="3120"/>
        <w:gridCol w:w="3052"/>
      </w:tblGrid>
      <w:tr w:rsidR="00B34194" w:rsidRPr="00935241" w14:paraId="10A19666" w14:textId="77777777" w:rsidTr="00FB2EB3">
        <w:tc>
          <w:tcPr>
            <w:tcW w:w="3074" w:type="dxa"/>
            <w:hideMark/>
          </w:tcPr>
          <w:p w14:paraId="387792F3" w14:textId="77777777" w:rsidR="00B34194" w:rsidRPr="00935241" w:rsidRDefault="00B34194" w:rsidP="00FB2EB3">
            <w:pPr>
              <w:spacing w:line="20" w:lineRule="atLeast"/>
              <w:ind w:firstLine="567"/>
              <w:rPr>
                <w:i/>
                <w:sz w:val="28"/>
                <w:szCs w:val="28"/>
              </w:rPr>
            </w:pPr>
            <w:r w:rsidRPr="00935241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20" w:type="dxa"/>
            <w:vAlign w:val="bottom"/>
            <w:hideMark/>
          </w:tcPr>
          <w:p w14:paraId="5E4D4CC4" w14:textId="6007C27E" w:rsidR="00B34194" w:rsidRPr="00935241" w:rsidRDefault="00831AB1" w:rsidP="00FB2EB3">
            <w:pPr>
              <w:spacing w:line="20" w:lineRule="atLeast"/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м. </w:t>
            </w:r>
            <w:r w:rsidR="00B34194" w:rsidRPr="00935241">
              <w:rPr>
                <w:b/>
                <w:sz w:val="28"/>
                <w:szCs w:val="28"/>
              </w:rPr>
              <w:t>Ужгород</w:t>
            </w:r>
          </w:p>
        </w:tc>
        <w:tc>
          <w:tcPr>
            <w:tcW w:w="3052" w:type="dxa"/>
            <w:hideMark/>
          </w:tcPr>
          <w:p w14:paraId="5686E8E6" w14:textId="77777777" w:rsidR="00B34194" w:rsidRPr="00935241" w:rsidRDefault="00B34194" w:rsidP="00FB2EB3">
            <w:pPr>
              <w:spacing w:line="20" w:lineRule="atLeast"/>
              <w:ind w:firstLine="567"/>
              <w:jc w:val="center"/>
              <w:rPr>
                <w:b/>
                <w:sz w:val="28"/>
                <w:szCs w:val="28"/>
              </w:rPr>
            </w:pPr>
            <w:r w:rsidRPr="00935241">
              <w:rPr>
                <w:b/>
                <w:sz w:val="28"/>
                <w:szCs w:val="28"/>
              </w:rPr>
              <w:t xml:space="preserve">№ </w:t>
            </w:r>
          </w:p>
        </w:tc>
      </w:tr>
    </w:tbl>
    <w:p w14:paraId="22138E8A" w14:textId="77777777" w:rsidR="00B34194" w:rsidRPr="00935241" w:rsidRDefault="00B34194" w:rsidP="00B34194">
      <w:pPr>
        <w:tabs>
          <w:tab w:val="left" w:pos="10348"/>
        </w:tabs>
        <w:spacing w:line="20" w:lineRule="atLeast"/>
        <w:ind w:firstLine="567"/>
        <w:jc w:val="both"/>
        <w:rPr>
          <w:sz w:val="28"/>
          <w:szCs w:val="28"/>
        </w:rPr>
      </w:pPr>
    </w:p>
    <w:p w14:paraId="6350028C" w14:textId="5C626827" w:rsidR="00B34194" w:rsidRPr="00B34194" w:rsidRDefault="00B34194" w:rsidP="00B34194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0"/>
        <w:gridCol w:w="3038"/>
      </w:tblGrid>
      <w:tr w:rsidR="00D96B43" w:rsidRPr="00831AB1" w14:paraId="0F08EDE3" w14:textId="77777777" w:rsidTr="00B34194">
        <w:trPr>
          <w:trHeight w:val="853"/>
        </w:trPr>
        <w:tc>
          <w:tcPr>
            <w:tcW w:w="6460" w:type="dxa"/>
          </w:tcPr>
          <w:p w14:paraId="612294ED" w14:textId="0B5A6DBF" w:rsidR="00D96B43" w:rsidRPr="00D71F83" w:rsidRDefault="00B34194" w:rsidP="00B50CF9">
            <w:pPr>
              <w:pStyle w:val="a3"/>
              <w:tabs>
                <w:tab w:val="left" w:pos="3864"/>
              </w:tabs>
              <w:ind w:right="1809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</w:t>
            </w:r>
            <w:r w:rsidR="00D96B43" w:rsidRPr="00D71F83">
              <w:rPr>
                <w:b/>
                <w:bCs/>
                <w:szCs w:val="28"/>
              </w:rPr>
              <w:t xml:space="preserve">ро </w:t>
            </w:r>
            <w:r w:rsidR="000B5D82" w:rsidRPr="00D71F83">
              <w:rPr>
                <w:b/>
                <w:bCs/>
                <w:szCs w:val="28"/>
              </w:rPr>
              <w:t>поновлення</w:t>
            </w:r>
            <w:r w:rsidR="00D96B43" w:rsidRPr="00D71F83">
              <w:rPr>
                <w:b/>
                <w:bCs/>
                <w:szCs w:val="28"/>
              </w:rPr>
              <w:t xml:space="preserve"> директора</w:t>
            </w:r>
            <w:r>
              <w:rPr>
                <w:b/>
                <w:bCs/>
                <w:szCs w:val="28"/>
              </w:rPr>
              <w:t xml:space="preserve"> </w:t>
            </w:r>
            <w:r w:rsidR="00D96B43" w:rsidRPr="00D71F83">
              <w:rPr>
                <w:b/>
                <w:bCs/>
                <w:szCs w:val="28"/>
              </w:rPr>
              <w:t>Закарпатського обласного комунального підприємства «Міжнародний аеропорт Ужгород»</w:t>
            </w:r>
          </w:p>
          <w:p w14:paraId="06B8356C" w14:textId="77777777" w:rsidR="00D96B43" w:rsidRPr="00D71F83" w:rsidRDefault="00D96B43" w:rsidP="0080489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038" w:type="dxa"/>
          </w:tcPr>
          <w:p w14:paraId="63E6243C" w14:textId="77777777" w:rsidR="00D96B43" w:rsidRPr="00D71F83" w:rsidRDefault="00D96B43" w:rsidP="0080489F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23AA4F94" w14:textId="00341A78" w:rsidR="00D96B43" w:rsidRPr="00D71F83" w:rsidRDefault="00D96B43" w:rsidP="00D96B43">
      <w:pPr>
        <w:ind w:firstLine="708"/>
        <w:jc w:val="both"/>
        <w:rPr>
          <w:sz w:val="28"/>
          <w:szCs w:val="28"/>
          <w:lang w:val="uk-UA"/>
        </w:rPr>
      </w:pPr>
      <w:r w:rsidRPr="00D71F83">
        <w:rPr>
          <w:sz w:val="28"/>
          <w:szCs w:val="28"/>
          <w:lang w:val="uk-UA"/>
        </w:rPr>
        <w:t>Відповідно до пункту 20 статті 43 Закону України «Про місцеве самоврядування в Україні,</w:t>
      </w:r>
      <w:r w:rsidR="000633FD">
        <w:rPr>
          <w:sz w:val="28"/>
          <w:szCs w:val="28"/>
          <w:lang w:val="uk-UA"/>
        </w:rPr>
        <w:t xml:space="preserve"> з метою виконання </w:t>
      </w:r>
      <w:r w:rsidR="000633FD" w:rsidRPr="00D71F83">
        <w:rPr>
          <w:sz w:val="28"/>
          <w:szCs w:val="28"/>
          <w:lang w:val="uk-UA"/>
        </w:rPr>
        <w:t>рішення Ужгородського міськрайонного суду Закарпатської області від 17 травня 2023 року</w:t>
      </w:r>
      <w:r w:rsidR="0055074C">
        <w:rPr>
          <w:sz w:val="28"/>
          <w:szCs w:val="28"/>
          <w:lang w:val="uk-UA"/>
        </w:rPr>
        <w:t xml:space="preserve"> та постанови Закарпатського апеляційного суду від 06 лютого 2023 року</w:t>
      </w:r>
      <w:r w:rsidR="000633FD" w:rsidRPr="00D71F83">
        <w:rPr>
          <w:sz w:val="28"/>
          <w:szCs w:val="28"/>
          <w:lang w:val="uk-UA"/>
        </w:rPr>
        <w:t xml:space="preserve"> по справі </w:t>
      </w:r>
      <w:r w:rsidR="000633FD">
        <w:rPr>
          <w:sz w:val="28"/>
          <w:szCs w:val="28"/>
          <w:lang w:val="uk-UA"/>
        </w:rPr>
        <w:t xml:space="preserve">  </w:t>
      </w:r>
      <w:r w:rsidR="000633FD" w:rsidRPr="00D71F83">
        <w:rPr>
          <w:sz w:val="28"/>
          <w:szCs w:val="28"/>
          <w:lang w:val="uk-UA"/>
        </w:rPr>
        <w:t>№ 308/7234/22</w:t>
      </w:r>
      <w:r w:rsidR="000633FD">
        <w:rPr>
          <w:sz w:val="28"/>
          <w:szCs w:val="28"/>
          <w:lang w:val="uk-UA"/>
        </w:rPr>
        <w:t>,</w:t>
      </w:r>
      <w:r w:rsidRPr="00D71F83">
        <w:rPr>
          <w:sz w:val="28"/>
          <w:szCs w:val="28"/>
          <w:lang w:val="uk-UA"/>
        </w:rPr>
        <w:t xml:space="preserve"> обласна  рада </w:t>
      </w:r>
      <w:r w:rsidRPr="00D71F83">
        <w:rPr>
          <w:b/>
          <w:sz w:val="28"/>
          <w:szCs w:val="28"/>
          <w:lang w:val="uk-UA"/>
        </w:rPr>
        <w:t>в и р і ш и л а:</w:t>
      </w:r>
    </w:p>
    <w:p w14:paraId="57BB93DE" w14:textId="77777777" w:rsidR="00D96B43" w:rsidRPr="00D71F83" w:rsidRDefault="00D96B43" w:rsidP="00D96B43">
      <w:pPr>
        <w:ind w:firstLine="708"/>
        <w:jc w:val="both"/>
        <w:rPr>
          <w:sz w:val="28"/>
          <w:szCs w:val="28"/>
          <w:lang w:val="uk-UA"/>
        </w:rPr>
      </w:pPr>
    </w:p>
    <w:p w14:paraId="02390964" w14:textId="53D8C5E5" w:rsidR="00D71F83" w:rsidRPr="00D71F83" w:rsidRDefault="00D96B43" w:rsidP="00D71F83">
      <w:pPr>
        <w:pStyle w:val="a3"/>
        <w:tabs>
          <w:tab w:val="left" w:pos="3864"/>
        </w:tabs>
        <w:ind w:firstLine="709"/>
        <w:jc w:val="both"/>
        <w:rPr>
          <w:szCs w:val="28"/>
        </w:rPr>
      </w:pPr>
      <w:r w:rsidRPr="00D71F83">
        <w:rPr>
          <w:szCs w:val="28"/>
        </w:rPr>
        <w:t xml:space="preserve">1. </w:t>
      </w:r>
      <w:r w:rsidR="00D71F83" w:rsidRPr="00D71F83">
        <w:rPr>
          <w:szCs w:val="28"/>
        </w:rPr>
        <w:t>Поновити КОЦЮБУ Олега Анатолійовича на посаді директора Закарпатського обласного комунального підприємства «Міжнародний аеропорт Ужгород» відповідно до рішення Ужгородського міськрайонного суду Закарпатської області від 17 травня 2023 року</w:t>
      </w:r>
      <w:r w:rsidR="0055074C">
        <w:rPr>
          <w:szCs w:val="28"/>
        </w:rPr>
        <w:t xml:space="preserve"> та постанови Закарпатського апеляційного суду від 06 лютого 2023 року</w:t>
      </w:r>
      <w:r w:rsidR="00D71F83" w:rsidRPr="00D71F83">
        <w:rPr>
          <w:szCs w:val="28"/>
        </w:rPr>
        <w:t xml:space="preserve"> по справі № 308/7234/22.</w:t>
      </w:r>
    </w:p>
    <w:p w14:paraId="2632DE8B" w14:textId="4573F015" w:rsidR="00D71F83" w:rsidRDefault="00D71F83" w:rsidP="00D71F8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71F83">
        <w:rPr>
          <w:sz w:val="28"/>
          <w:szCs w:val="28"/>
          <w:lang w:val="uk-UA"/>
        </w:rPr>
        <w:t>2. Увільнити ПІНІЧА Віталі</w:t>
      </w:r>
      <w:r w:rsidR="000633FD">
        <w:rPr>
          <w:sz w:val="28"/>
          <w:szCs w:val="28"/>
          <w:lang w:val="uk-UA"/>
        </w:rPr>
        <w:t>я</w:t>
      </w:r>
      <w:r w:rsidRPr="00D71F83">
        <w:rPr>
          <w:sz w:val="28"/>
          <w:szCs w:val="28"/>
          <w:lang w:val="uk-UA"/>
        </w:rPr>
        <w:t xml:space="preserve"> Леонідовича від  виконання обов’язків  директора Закарпатського обласного комунального підприємства «Міжнародний аеропорт Ужгород»</w:t>
      </w:r>
      <w:r>
        <w:rPr>
          <w:sz w:val="28"/>
          <w:szCs w:val="28"/>
          <w:lang w:val="uk-UA"/>
        </w:rPr>
        <w:t xml:space="preserve"> </w:t>
      </w:r>
      <w:r w:rsidRPr="00D71F83">
        <w:rPr>
          <w:sz w:val="28"/>
          <w:szCs w:val="28"/>
          <w:lang w:val="uk-UA"/>
        </w:rPr>
        <w:t>на підставі пункту 6 частини 1 статті 40 Кодексу законів про працю України.</w:t>
      </w:r>
    </w:p>
    <w:p w14:paraId="6A202C21" w14:textId="12F82430" w:rsidR="000633FD" w:rsidRDefault="00D71F83" w:rsidP="000633FD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3</w:t>
      </w:r>
      <w:r w:rsidR="00D96B43" w:rsidRPr="00D71F83">
        <w:rPr>
          <w:szCs w:val="28"/>
        </w:rPr>
        <w:t xml:space="preserve">. Припинити дію контракту з </w:t>
      </w:r>
      <w:r w:rsidRPr="00D71F83">
        <w:rPr>
          <w:szCs w:val="28"/>
        </w:rPr>
        <w:t>ПІНІЧ</w:t>
      </w:r>
      <w:r>
        <w:rPr>
          <w:szCs w:val="28"/>
        </w:rPr>
        <w:t>ЕМ</w:t>
      </w:r>
      <w:r w:rsidRPr="00D71F83">
        <w:rPr>
          <w:szCs w:val="28"/>
        </w:rPr>
        <w:t xml:space="preserve"> Віталі</w:t>
      </w:r>
      <w:r>
        <w:rPr>
          <w:szCs w:val="28"/>
        </w:rPr>
        <w:t>єм</w:t>
      </w:r>
      <w:r w:rsidRPr="00D71F83">
        <w:rPr>
          <w:szCs w:val="28"/>
        </w:rPr>
        <w:t xml:space="preserve"> Леонідович</w:t>
      </w:r>
      <w:r>
        <w:rPr>
          <w:szCs w:val="28"/>
        </w:rPr>
        <w:t>ем</w:t>
      </w:r>
      <w:r w:rsidR="00831AB1">
        <w:rPr>
          <w:szCs w:val="28"/>
        </w:rPr>
        <w:t>.</w:t>
      </w:r>
    </w:p>
    <w:p w14:paraId="68955C00" w14:textId="77777777" w:rsidR="00831AB1" w:rsidRDefault="00D71F83" w:rsidP="00831AB1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4</w:t>
      </w:r>
      <w:r w:rsidR="00D96B43" w:rsidRPr="00D71F83">
        <w:rPr>
          <w:szCs w:val="28"/>
        </w:rPr>
        <w:t xml:space="preserve">. </w:t>
      </w:r>
      <w:bookmarkStart w:id="0" w:name="_Hlk161392196"/>
      <w:r w:rsidR="00D96B43" w:rsidRPr="00D71F83">
        <w:rPr>
          <w:szCs w:val="28"/>
        </w:rPr>
        <w:t>Контроль за виконанням цього рішення покласти на заступника голови обласної ради та постійн</w:t>
      </w:r>
      <w:r w:rsidR="00831AB1">
        <w:rPr>
          <w:szCs w:val="28"/>
        </w:rPr>
        <w:t>у</w:t>
      </w:r>
      <w:r w:rsidR="00D96B43" w:rsidRPr="00D71F83">
        <w:rPr>
          <w:szCs w:val="28"/>
        </w:rPr>
        <w:t xml:space="preserve"> комісі</w:t>
      </w:r>
      <w:r w:rsidR="00831AB1">
        <w:rPr>
          <w:szCs w:val="28"/>
        </w:rPr>
        <w:t>ю</w:t>
      </w:r>
      <w:r w:rsidR="00D96B43" w:rsidRPr="00D71F83">
        <w:rPr>
          <w:szCs w:val="28"/>
        </w:rPr>
        <w:t xml:space="preserve"> обласної ради з питань</w:t>
      </w:r>
      <w:hyperlink r:id="rId6" w:history="1">
        <w:r w:rsidR="000633FD" w:rsidRPr="000633FD">
          <w:rPr>
            <w:szCs w:val="28"/>
          </w:rPr>
          <w:t xml:space="preserve"> регламенту, депутатської </w:t>
        </w:r>
        <w:r w:rsidR="00B34194">
          <w:rPr>
            <w:szCs w:val="28"/>
          </w:rPr>
          <w:t>роботи</w:t>
        </w:r>
        <w:r w:rsidR="000633FD" w:rsidRPr="000633FD">
          <w:rPr>
            <w:szCs w:val="28"/>
          </w:rPr>
          <w:t>, етики, нагороджень, правових питань та антикорупційної діяльності</w:t>
        </w:r>
      </w:hyperlink>
      <w:bookmarkEnd w:id="0"/>
      <w:r w:rsidR="00831AB1">
        <w:rPr>
          <w:szCs w:val="28"/>
        </w:rPr>
        <w:t>.</w:t>
      </w:r>
    </w:p>
    <w:p w14:paraId="620A838E" w14:textId="77777777" w:rsidR="00831AB1" w:rsidRDefault="00831AB1" w:rsidP="00831AB1">
      <w:pPr>
        <w:pStyle w:val="a3"/>
        <w:ind w:firstLine="709"/>
        <w:jc w:val="both"/>
        <w:rPr>
          <w:szCs w:val="28"/>
        </w:rPr>
      </w:pPr>
    </w:p>
    <w:p w14:paraId="02105762" w14:textId="77777777" w:rsidR="00831AB1" w:rsidRDefault="00831AB1" w:rsidP="00831AB1">
      <w:pPr>
        <w:pStyle w:val="a3"/>
        <w:ind w:firstLine="709"/>
        <w:jc w:val="both"/>
        <w:rPr>
          <w:szCs w:val="28"/>
        </w:rPr>
      </w:pPr>
    </w:p>
    <w:p w14:paraId="43AE4D51" w14:textId="093CE4EF" w:rsidR="00144912" w:rsidRDefault="00831AB1" w:rsidP="00831AB1">
      <w:pPr>
        <w:pStyle w:val="a3"/>
        <w:jc w:val="both"/>
        <w:rPr>
          <w:b/>
          <w:bCs/>
          <w:szCs w:val="28"/>
        </w:rPr>
      </w:pPr>
      <w:r w:rsidRPr="00831AB1">
        <w:rPr>
          <w:b/>
          <w:bCs/>
          <w:szCs w:val="28"/>
        </w:rPr>
        <w:t>Голова ради</w:t>
      </w:r>
      <w:r w:rsidR="00D96B43" w:rsidRPr="00831AB1">
        <w:rPr>
          <w:b/>
          <w:bCs/>
          <w:szCs w:val="28"/>
        </w:rPr>
        <w:t xml:space="preserve">                                       </w:t>
      </w:r>
      <w:r w:rsidR="00D71F83" w:rsidRPr="00831AB1">
        <w:rPr>
          <w:b/>
          <w:bCs/>
          <w:szCs w:val="28"/>
        </w:rPr>
        <w:t xml:space="preserve">  </w:t>
      </w:r>
      <w:r w:rsidR="00D96B43" w:rsidRPr="00831AB1">
        <w:rPr>
          <w:b/>
          <w:bCs/>
          <w:szCs w:val="28"/>
        </w:rPr>
        <w:t xml:space="preserve">      </w:t>
      </w:r>
      <w:r w:rsidR="0055074C" w:rsidRPr="00831AB1">
        <w:rPr>
          <w:b/>
          <w:bCs/>
          <w:szCs w:val="28"/>
        </w:rPr>
        <w:t xml:space="preserve">          </w:t>
      </w:r>
      <w:r w:rsidR="00D96B43" w:rsidRPr="00831AB1">
        <w:rPr>
          <w:b/>
          <w:bCs/>
          <w:szCs w:val="28"/>
        </w:rPr>
        <w:t xml:space="preserve">    </w:t>
      </w:r>
      <w:r w:rsidR="00C17341" w:rsidRPr="00831AB1">
        <w:rPr>
          <w:b/>
          <w:bCs/>
          <w:szCs w:val="28"/>
        </w:rPr>
        <w:t xml:space="preserve">        </w:t>
      </w:r>
      <w:r w:rsidR="00D96B43" w:rsidRPr="00831AB1">
        <w:rPr>
          <w:b/>
          <w:bCs/>
          <w:szCs w:val="28"/>
        </w:rPr>
        <w:t xml:space="preserve"> </w:t>
      </w:r>
      <w:r w:rsidR="0055074C">
        <w:rPr>
          <w:b/>
          <w:bCs/>
          <w:szCs w:val="28"/>
        </w:rPr>
        <w:t>Роман САРАЙ</w:t>
      </w:r>
    </w:p>
    <w:sectPr w:rsidR="00144912" w:rsidSect="00927CB0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5986"/>
    <w:multiLevelType w:val="multilevel"/>
    <w:tmpl w:val="3F866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8883933"/>
    <w:multiLevelType w:val="multilevel"/>
    <w:tmpl w:val="3078DE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650295">
    <w:abstractNumId w:val="0"/>
  </w:num>
  <w:num w:numId="2" w16cid:durableId="2101288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43"/>
    <w:rsid w:val="000633FD"/>
    <w:rsid w:val="00063E31"/>
    <w:rsid w:val="000B5D82"/>
    <w:rsid w:val="00144912"/>
    <w:rsid w:val="0055074C"/>
    <w:rsid w:val="00831AB1"/>
    <w:rsid w:val="008A4CC8"/>
    <w:rsid w:val="00976125"/>
    <w:rsid w:val="009F6B0E"/>
    <w:rsid w:val="00A517B0"/>
    <w:rsid w:val="00B34194"/>
    <w:rsid w:val="00B50CF9"/>
    <w:rsid w:val="00B8177D"/>
    <w:rsid w:val="00C17341"/>
    <w:rsid w:val="00CC51C2"/>
    <w:rsid w:val="00D71F83"/>
    <w:rsid w:val="00D96B43"/>
    <w:rsid w:val="00E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D4894"/>
  <w15:chartTrackingRefBased/>
  <w15:docId w15:val="{0487B3BE-2BC6-4816-8320-3A246FD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B43"/>
    <w:pPr>
      <w:ind w:firstLine="0"/>
      <w:jc w:val="left"/>
    </w:pPr>
    <w:rPr>
      <w:rFonts w:eastAsia="Times New Roman"/>
      <w:kern w:val="0"/>
      <w:sz w:val="20"/>
      <w:szCs w:val="20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6B43"/>
    <w:pPr>
      <w:jc w:val="center"/>
    </w:pPr>
    <w:rPr>
      <w:sz w:val="28"/>
      <w:lang w:val="uk-UA"/>
    </w:rPr>
  </w:style>
  <w:style w:type="character" w:customStyle="1" w:styleId="a4">
    <w:name w:val="Назва Знак"/>
    <w:basedOn w:val="a0"/>
    <w:link w:val="a3"/>
    <w:rsid w:val="00D96B43"/>
    <w:rPr>
      <w:rFonts w:eastAsia="Times New Roman"/>
      <w:kern w:val="0"/>
      <w:szCs w:val="20"/>
      <w:lang w:eastAsia="ru-RU"/>
      <w14:ligatures w14:val="none"/>
    </w:rPr>
  </w:style>
  <w:style w:type="paragraph" w:customStyle="1" w:styleId="pageitem">
    <w:name w:val="page_item"/>
    <w:basedOn w:val="a"/>
    <w:rsid w:val="000633F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0633FD"/>
    <w:rPr>
      <w:color w:val="0000FF"/>
      <w:u w:val="single"/>
    </w:rPr>
  </w:style>
  <w:style w:type="paragraph" w:customStyle="1" w:styleId="1">
    <w:name w:val="Звичайний1"/>
    <w:rsid w:val="00B34194"/>
    <w:pPr>
      <w:snapToGrid w:val="0"/>
      <w:ind w:firstLine="0"/>
      <w:jc w:val="left"/>
    </w:pPr>
    <w:rPr>
      <w:rFonts w:eastAsia="Times New Roman"/>
      <w:kern w:val="0"/>
      <w:sz w:val="20"/>
      <w:szCs w:val="20"/>
      <w:lang w:val="ru-RU" w:eastAsia="ru-RU"/>
      <w14:ligatures w14:val="none"/>
    </w:rPr>
  </w:style>
  <w:style w:type="paragraph" w:customStyle="1" w:styleId="31">
    <w:name w:val="Основной текст с отступом 31"/>
    <w:basedOn w:val="a"/>
    <w:rsid w:val="00B34194"/>
    <w:pPr>
      <w:suppressAutoHyphens/>
      <w:ind w:firstLine="720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arpat-rada.gov.ua/oblasna-rada/postijni-komisiji/z-pytan-zakonnosti-pravoporyadku-majna-ta-pryvatyzatsiji-rehlament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Закарпатська обласна рада</dc:creator>
  <cp:keywords/>
  <dc:description/>
  <cp:lastModifiedBy>Закарпатська обласна рада</cp:lastModifiedBy>
  <cp:revision>6</cp:revision>
  <cp:lastPrinted>2024-06-25T07:00:00Z</cp:lastPrinted>
  <dcterms:created xsi:type="dcterms:W3CDTF">2024-03-15T14:21:00Z</dcterms:created>
  <dcterms:modified xsi:type="dcterms:W3CDTF">2024-06-25T07:00:00Z</dcterms:modified>
</cp:coreProperties>
</file>